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02">
            <w:pPr>
              <w:rPr>
                <w:rFonts w:ascii="Times New Roman" w:cs="Times New Roman" w:eastAsia="Times New Roman" w:hAnsi="Times New Roman"/>
                <w:sz w:val="22"/>
                <w:szCs w:val="22"/>
              </w:rPr>
            </w:pPr>
            <w:bookmarkStart w:colFirst="0" w:colLast="0" w:name="_heading=h.gjdgxs" w:id="0"/>
            <w:bookmarkEnd w:id="0"/>
            <w:r w:rsidDel="00000000" w:rsidR="00000000" w:rsidRPr="00000000">
              <w:rPr>
                <w:rFonts w:ascii="Times New Roman" w:cs="Times New Roman" w:eastAsia="Times New Roman" w:hAnsi="Times New Roman"/>
                <w:color w:val="000000"/>
                <w:sz w:val="22"/>
                <w:szCs w:val="22"/>
                <w:rtl w:val="0"/>
              </w:rPr>
              <w:t xml:space="preserve">[OPCIONÁLIS: SOROZAT [BEILLESZTENDŐ]]</w:t>
            </w:r>
            <w:r w:rsidDel="00000000" w:rsidR="00000000" w:rsidRPr="00000000">
              <w:rPr>
                <w:rtl w:val="0"/>
              </w:rPr>
            </w:r>
          </w:p>
        </w:tc>
        <w:tc>
          <w:tcPr/>
          <w:p w:rsidR="00000000" w:rsidDel="00000000" w:rsidP="00000000" w:rsidRDefault="00000000" w:rsidRPr="00000000" w14:paraId="0000000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[OPTIONAL: SERIES [INSERT]]</w:t>
            </w:r>
            <w:r w:rsidDel="00000000" w:rsidR="00000000" w:rsidRPr="00000000">
              <w:rPr>
                <w:rFonts w:ascii="Times New Roman" w:cs="Times New Roman" w:eastAsia="Times New Roman" w:hAnsi="Times New Roman"/>
                <w:sz w:val="22"/>
                <w:szCs w:val="22"/>
                <w:vertAlign w:val="superscript"/>
              </w:rPr>
              <w:footnoteReference w:customMarkFollows="0" w:id="0"/>
            </w:r>
            <w:r w:rsidDel="00000000" w:rsidR="00000000" w:rsidRPr="00000000">
              <w:rPr>
                <w:rtl w:val="0"/>
              </w:rPr>
            </w:r>
          </w:p>
        </w:tc>
      </w:tr>
      <w:tr>
        <w:trPr>
          <w:cantSplit w:val="0"/>
          <w:tblHeader w:val="0"/>
        </w:trPr>
        <w:tc>
          <w:tcPr/>
          <w:p w:rsidR="00000000" w:rsidDel="00000000" w:rsidP="00000000" w:rsidRDefault="00000000" w:rsidRPr="00000000" w14:paraId="0000000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MAGVETŐ KONVERTÁLHATÓ KÖLCSÖNSZERZŐDÉS</w:t>
            </w:r>
            <w:r w:rsidDel="00000000" w:rsidR="00000000" w:rsidRPr="00000000">
              <w:rPr>
                <w:rtl w:val="0"/>
              </w:rPr>
            </w:r>
          </w:p>
        </w:tc>
        <w:tc>
          <w:tcPr/>
          <w:p w:rsidR="00000000" w:rsidDel="00000000" w:rsidP="00000000" w:rsidRDefault="00000000" w:rsidRPr="00000000" w14:paraId="00000005">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SEED CONVERTIBLE LOAN AGREEMENT</w:t>
            </w:r>
            <w:r w:rsidDel="00000000" w:rsidR="00000000" w:rsidRPr="00000000">
              <w:rPr>
                <w:rFonts w:ascii="Times New Roman" w:cs="Times New Roman" w:eastAsia="Times New Roman" w:hAnsi="Times New Roman"/>
                <w:b w:val="1"/>
                <w:bCs w:val="1"/>
                <w:sz w:val="22"/>
                <w:szCs w:val="22"/>
                <w:vertAlign w:val="superscript"/>
              </w:rPr>
              <w:footnoteReference w:customMarkFollows="0" w:id="1"/>
            </w:r>
            <w:r w:rsidDel="00000000" w:rsidR="00000000" w:rsidRPr="00000000">
              <w:rPr>
                <w:rtl w:val="0"/>
              </w:rPr>
            </w:r>
          </w:p>
        </w:tc>
      </w:tr>
      <w:tr>
        <w:trPr>
          <w:cantSplit w:val="0"/>
          <w:tblHeader w:val="0"/>
        </w:trPr>
        <w:tc>
          <w:tcPr/>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Jelen magvető konvertálható kölcsönszerződés (a továbbiakban: „</w:t>
            </w:r>
            <w:r w:rsidDel="00000000" w:rsidR="00000000" w:rsidRPr="00000000">
              <w:rPr>
                <w:rFonts w:ascii="Times New Roman" w:cs="Times New Roman" w:eastAsia="Times New Roman" w:hAnsi="Times New Roman"/>
                <w:b w:val="1"/>
                <w:bCs w:val="1"/>
                <w:sz w:val="22"/>
                <w:szCs w:val="22"/>
                <w:rtl w:val="0"/>
              </w:rPr>
              <w:t xml:space="preserve">Szerződés</w:t>
            </w:r>
            <w:r w:rsidDel="00000000" w:rsidR="00000000" w:rsidRPr="00000000">
              <w:rPr>
                <w:rFonts w:ascii="Times New Roman" w:cs="Times New Roman" w:eastAsia="Times New Roman" w:hAnsi="Times New Roman"/>
                <w:sz w:val="22"/>
                <w:szCs w:val="22"/>
                <w:rtl w:val="0"/>
              </w:rPr>
              <w:t xml:space="preserve">”) [dátum] napján jött létre (a továbbiakban: „</w:t>
            </w:r>
            <w:r w:rsidDel="00000000" w:rsidR="00000000" w:rsidRPr="00000000">
              <w:rPr>
                <w:rFonts w:ascii="Times New Roman" w:cs="Times New Roman" w:eastAsia="Times New Roman" w:hAnsi="Times New Roman"/>
                <w:b w:val="1"/>
                <w:bCs w:val="1"/>
                <w:sz w:val="22"/>
                <w:szCs w:val="22"/>
                <w:rtl w:val="0"/>
              </w:rPr>
              <w:t xml:space="preserve">Aláírás Napja</w:t>
            </w:r>
            <w:r w:rsidDel="00000000" w:rsidR="00000000" w:rsidRPr="00000000">
              <w:rPr>
                <w:rFonts w:ascii="Times New Roman" w:cs="Times New Roman" w:eastAsia="Times New Roman" w:hAnsi="Times New Roman"/>
                <w:sz w:val="22"/>
                <w:szCs w:val="22"/>
                <w:rtl w:val="0"/>
              </w:rPr>
              <w:t xml:space="preserve">”) a Társaság, a Befektető és az Alapítók között (egyenként „</w:t>
            </w:r>
            <w:r w:rsidDel="00000000" w:rsidR="00000000" w:rsidRPr="00000000">
              <w:rPr>
                <w:rFonts w:ascii="Times New Roman" w:cs="Times New Roman" w:eastAsia="Times New Roman" w:hAnsi="Times New Roman"/>
                <w:b w:val="1"/>
                <w:bCs w:val="1"/>
                <w:sz w:val="22"/>
                <w:szCs w:val="22"/>
                <w:rtl w:val="0"/>
              </w:rPr>
              <w:t xml:space="preserve">Fél</w:t>
            </w:r>
            <w:r w:rsidDel="00000000" w:rsidR="00000000" w:rsidRPr="00000000">
              <w:rPr>
                <w:rFonts w:ascii="Times New Roman" w:cs="Times New Roman" w:eastAsia="Times New Roman" w:hAnsi="Times New Roman"/>
                <w:sz w:val="22"/>
                <w:szCs w:val="22"/>
                <w:rtl w:val="0"/>
              </w:rPr>
              <w:t xml:space="preserve">”, együttesen „</w:t>
            </w:r>
            <w:r w:rsidDel="00000000" w:rsidR="00000000" w:rsidRPr="00000000">
              <w:rPr>
                <w:rFonts w:ascii="Times New Roman" w:cs="Times New Roman" w:eastAsia="Times New Roman" w:hAnsi="Times New Roman"/>
                <w:b w:val="1"/>
                <w:bCs w:val="1"/>
                <w:sz w:val="22"/>
                <w:szCs w:val="22"/>
                <w:rtl w:val="0"/>
              </w:rPr>
              <w:t xml:space="preserve">Felek</w:t>
            </w:r>
            <w:r w:rsidDel="00000000" w:rsidR="00000000" w:rsidRPr="00000000">
              <w:rPr>
                <w:rFonts w:ascii="Times New Roman" w:cs="Times New Roman" w:eastAsia="Times New Roman" w:hAnsi="Times New Roman"/>
                <w:sz w:val="22"/>
                <w:szCs w:val="22"/>
                <w:rtl w:val="0"/>
              </w:rPr>
              <w:t xml:space="preserve">”). A jelen Szerződésben, nagy kezdőbetűvel szereplő szakkifejezések meghatározását értelmezését az 1.2 pont tartalmazza</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A Felek adatai az aláírási oldalon kerültek feltüntetésre.</w:t>
            </w:r>
            <w:r w:rsidDel="00000000" w:rsidR="00000000" w:rsidRPr="00000000">
              <w:rPr>
                <w:rtl w:val="0"/>
              </w:rPr>
            </w:r>
          </w:p>
        </w:tc>
        <w:tc>
          <w:tcPr/>
          <w:p w:rsidR="00000000" w:rsidDel="00000000" w:rsidP="00000000" w:rsidRDefault="00000000" w:rsidRPr="00000000" w14:paraId="0000000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seed convertible loan agreement (the “</w:t>
            </w:r>
            <w:r w:rsidDel="00000000" w:rsidR="00000000" w:rsidRPr="00000000">
              <w:rPr>
                <w:rFonts w:ascii="Times New Roman" w:cs="Times New Roman" w:eastAsia="Times New Roman" w:hAnsi="Times New Roman"/>
                <w:b w:val="1"/>
                <w:bCs w:val="1"/>
                <w:sz w:val="22"/>
                <w:szCs w:val="22"/>
                <w:rtl w:val="0"/>
              </w:rPr>
              <w:t xml:space="preserve">Agreement</w:t>
            </w:r>
            <w:r w:rsidDel="00000000" w:rsidR="00000000" w:rsidRPr="00000000">
              <w:rPr>
                <w:rFonts w:ascii="Times New Roman" w:cs="Times New Roman" w:eastAsia="Times New Roman" w:hAnsi="Times New Roman"/>
                <w:sz w:val="22"/>
                <w:szCs w:val="22"/>
                <w:rtl w:val="0"/>
              </w:rPr>
              <w:t xml:space="preserve">”) is dated [date] (the “</w:t>
            </w:r>
            <w:r w:rsidDel="00000000" w:rsidR="00000000" w:rsidRPr="00000000">
              <w:rPr>
                <w:rFonts w:ascii="Times New Roman" w:cs="Times New Roman" w:eastAsia="Times New Roman" w:hAnsi="Times New Roman"/>
                <w:b w:val="1"/>
                <w:bCs w:val="1"/>
                <w:sz w:val="22"/>
                <w:szCs w:val="22"/>
                <w:rtl w:val="0"/>
              </w:rPr>
              <w:t xml:space="preserve">Signing Date</w:t>
            </w:r>
            <w:r w:rsidDel="00000000" w:rsidR="00000000" w:rsidRPr="00000000">
              <w:rPr>
                <w:rFonts w:ascii="Times New Roman" w:cs="Times New Roman" w:eastAsia="Times New Roman" w:hAnsi="Times New Roman"/>
                <w:sz w:val="22"/>
                <w:szCs w:val="22"/>
                <w:rtl w:val="0"/>
              </w:rPr>
              <w:t xml:space="preserve">”) and is between the Company, the Investor and the Founders whose details are set out on the signature page (each also a “</w:t>
            </w:r>
            <w:r w:rsidDel="00000000" w:rsidR="00000000" w:rsidRPr="00000000">
              <w:rPr>
                <w:rFonts w:ascii="Times New Roman" w:cs="Times New Roman" w:eastAsia="Times New Roman" w:hAnsi="Times New Roman"/>
                <w:b w:val="1"/>
                <w:bCs w:val="1"/>
                <w:sz w:val="22"/>
                <w:szCs w:val="22"/>
                <w:rtl w:val="0"/>
              </w:rPr>
              <w:t xml:space="preserve">Party</w:t>
            </w:r>
            <w:r w:rsidDel="00000000" w:rsidR="00000000" w:rsidRPr="00000000">
              <w:rPr>
                <w:rFonts w:ascii="Times New Roman" w:cs="Times New Roman" w:eastAsia="Times New Roman" w:hAnsi="Times New Roman"/>
                <w:sz w:val="22"/>
                <w:szCs w:val="22"/>
                <w:rtl w:val="0"/>
              </w:rPr>
              <w:t xml:space="preserve">” and together the “</w:t>
            </w:r>
            <w:r w:rsidDel="00000000" w:rsidR="00000000" w:rsidRPr="00000000">
              <w:rPr>
                <w:rFonts w:ascii="Times New Roman" w:cs="Times New Roman" w:eastAsia="Times New Roman" w:hAnsi="Times New Roman"/>
                <w:b w:val="1"/>
                <w:bCs w:val="1"/>
                <w:sz w:val="22"/>
                <w:szCs w:val="22"/>
                <w:rtl w:val="0"/>
              </w:rPr>
              <w:t xml:space="preserve">Parties</w:t>
            </w:r>
            <w:r w:rsidDel="00000000" w:rsidR="00000000" w:rsidRPr="00000000">
              <w:rPr>
                <w:rFonts w:ascii="Times New Roman" w:cs="Times New Roman" w:eastAsia="Times New Roman" w:hAnsi="Times New Roman"/>
                <w:sz w:val="22"/>
                <w:szCs w:val="22"/>
                <w:rtl w:val="0"/>
              </w:rPr>
              <w:t xml:space="preserve">”). The capitalized terms used in this Agreement have the meanings set forth in Section 1.2.</w:t>
            </w:r>
          </w:p>
          <w:p w:rsidR="00000000" w:rsidDel="00000000" w:rsidP="00000000" w:rsidRDefault="00000000" w:rsidRPr="00000000" w14:paraId="0000000A">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The Parties details are set out on the signature page.</w:t>
            </w:r>
            <w:r w:rsidDel="00000000" w:rsidR="00000000" w:rsidRPr="00000000">
              <w:rPr>
                <w:rtl w:val="0"/>
              </w:rPr>
            </w:r>
          </w:p>
        </w:tc>
      </w:tr>
      <w:tr>
        <w:trPr>
          <w:cantSplit w:val="0"/>
          <w:tblHeader w:val="0"/>
        </w:trPr>
        <w:tc>
          <w:tcPr/>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A Társaság finanszírozást keres [tevékenység leírása] tevékenységéhez (a továbbiakban: „</w:t>
            </w:r>
            <w:r w:rsidDel="00000000" w:rsidR="00000000" w:rsidRPr="00000000">
              <w:rPr>
                <w:rFonts w:ascii="Times New Roman" w:cs="Times New Roman" w:eastAsia="Times New Roman" w:hAnsi="Times New Roman"/>
                <w:b w:val="1"/>
                <w:bCs w:val="1"/>
                <w:sz w:val="22"/>
                <w:szCs w:val="22"/>
                <w:rtl w:val="0"/>
              </w:rPr>
              <w:t xml:space="preserve">Tevékenység</w:t>
            </w:r>
            <w:r w:rsidDel="00000000" w:rsidR="00000000" w:rsidRPr="00000000">
              <w:rPr>
                <w:rFonts w:ascii="Times New Roman" w:cs="Times New Roman" w:eastAsia="Times New Roman" w:hAnsi="Times New Roman"/>
                <w:sz w:val="22"/>
                <w:szCs w:val="22"/>
                <w:rtl w:val="0"/>
              </w:rPr>
              <w:t xml:space="preserve">”), a Befektető vállalja, hogy a Társaság részére meghatározott összegű finanszírozást biztosít konvertálható kölcsön (a továbbiakban: „</w:t>
            </w:r>
            <w:r w:rsidDel="00000000" w:rsidR="00000000" w:rsidRPr="00000000">
              <w:rPr>
                <w:rFonts w:ascii="Times New Roman" w:cs="Times New Roman" w:eastAsia="Times New Roman" w:hAnsi="Times New Roman"/>
                <w:b w:val="1"/>
                <w:bCs w:val="1"/>
                <w:sz w:val="22"/>
                <w:szCs w:val="22"/>
                <w:rtl w:val="0"/>
              </w:rPr>
              <w:t xml:space="preserve">Kölcsön</w:t>
            </w:r>
            <w:r w:rsidDel="00000000" w:rsidR="00000000" w:rsidRPr="00000000">
              <w:rPr>
                <w:rFonts w:ascii="Times New Roman" w:cs="Times New Roman" w:eastAsia="Times New Roman" w:hAnsi="Times New Roman"/>
                <w:sz w:val="22"/>
                <w:szCs w:val="22"/>
                <w:rtl w:val="0"/>
              </w:rPr>
              <w:t xml:space="preserve">”) formájában. </w:t>
            </w:r>
          </w:p>
          <w:p w:rsidR="00000000" w:rsidDel="00000000" w:rsidP="00000000" w:rsidRDefault="00000000" w:rsidRPr="00000000" w14:paraId="0000000D">
            <w:pPr>
              <w:jc w:val="both"/>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00E">
            <w:pPr>
              <w:ind w:left="745" w:hanging="74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A.</w:t>
            </w:r>
            <w:r w:rsidDel="00000000" w:rsidR="00000000" w:rsidRPr="00000000">
              <w:rPr>
                <w:rFonts w:ascii="Times New Roman" w:cs="Times New Roman" w:eastAsia="Times New Roman" w:hAnsi="Times New Roman"/>
                <w:sz w:val="22"/>
                <w:szCs w:val="22"/>
                <w:rtl w:val="0"/>
              </w:rPr>
              <w:tab/>
              <w:t xml:space="preserve">The Company is seeking financing for its business of [insert description] (the “</w:t>
            </w:r>
            <w:r w:rsidDel="00000000" w:rsidR="00000000" w:rsidRPr="00000000">
              <w:rPr>
                <w:rFonts w:ascii="Times New Roman" w:cs="Times New Roman" w:eastAsia="Times New Roman" w:hAnsi="Times New Roman"/>
                <w:b w:val="1"/>
                <w:bCs w:val="1"/>
                <w:sz w:val="22"/>
                <w:szCs w:val="22"/>
                <w:rtl w:val="0"/>
              </w:rPr>
              <w:t xml:space="preserve">Business</w:t>
            </w:r>
            <w:r w:rsidDel="00000000" w:rsidR="00000000" w:rsidRPr="00000000">
              <w:rPr>
                <w:rFonts w:ascii="Times New Roman" w:cs="Times New Roman" w:eastAsia="Times New Roman" w:hAnsi="Times New Roman"/>
                <w:sz w:val="22"/>
                <w:szCs w:val="22"/>
                <w:rtl w:val="0"/>
              </w:rPr>
              <w:t xml:space="preserve">”) and each Investor has agreed to provide such financing by granting a convertible loan (the “</w:t>
            </w:r>
            <w:r w:rsidDel="00000000" w:rsidR="00000000" w:rsidRPr="00000000">
              <w:rPr>
                <w:rFonts w:ascii="Times New Roman" w:cs="Times New Roman" w:eastAsia="Times New Roman" w:hAnsi="Times New Roman"/>
                <w:b w:val="1"/>
                <w:bCs w:val="1"/>
                <w:sz w:val="22"/>
                <w:szCs w:val="22"/>
                <w:rtl w:val="0"/>
              </w:rPr>
              <w:t xml:space="preserve">Loan</w:t>
            </w:r>
            <w:r w:rsidDel="00000000" w:rsidR="00000000" w:rsidRPr="00000000">
              <w:rPr>
                <w:rFonts w:ascii="Times New Roman" w:cs="Times New Roman" w:eastAsia="Times New Roman" w:hAnsi="Times New Roman"/>
                <w:sz w:val="22"/>
                <w:szCs w:val="22"/>
                <w:rtl w:val="0"/>
              </w:rPr>
              <w:t xml:space="preserve">”) to the Company.</w:t>
            </w:r>
          </w:p>
        </w:tc>
      </w:tr>
      <w:tr>
        <w:trPr>
          <w:cantSplit w:val="0"/>
          <w:tblHeader w:val="0"/>
        </w:trPr>
        <w:tc>
          <w:tcPr/>
          <w:p w:rsidR="00000000" w:rsidDel="00000000" w:rsidP="00000000" w:rsidRDefault="00000000" w:rsidRPr="00000000" w14:paraId="0000000F">
            <w:pPr>
              <w:ind w:left="731" w:hanging="731"/>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ab/>
              <w:t xml:space="preserve">A [dátum] kelt, konvertálható kölcsönre vonatkozó megállapodás (a továbbiakban: „</w:t>
            </w:r>
            <w:r w:rsidDel="00000000" w:rsidR="00000000" w:rsidRPr="00000000">
              <w:rPr>
                <w:rFonts w:ascii="Times New Roman" w:cs="Times New Roman" w:eastAsia="Times New Roman" w:hAnsi="Times New Roman"/>
                <w:b w:val="1"/>
                <w:bCs w:val="1"/>
                <w:sz w:val="22"/>
                <w:szCs w:val="22"/>
                <w:rtl w:val="0"/>
              </w:rPr>
              <w:t xml:space="preserve">Jóváhagyási Megállapodás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1"/>
                <w:iCs w:val="1"/>
                <w:sz w:val="22"/>
                <w:szCs w:val="22"/>
                <w:rtl w:val="0"/>
              </w:rPr>
              <w:t xml:space="preserve">ld a mintadokumentum tárban</w:t>
            </w:r>
            <w:r w:rsidDel="00000000" w:rsidR="00000000" w:rsidRPr="00000000">
              <w:rPr>
                <w:rFonts w:ascii="Times New Roman" w:cs="Times New Roman" w:eastAsia="Times New Roman" w:hAnsi="Times New Roman"/>
                <w:sz w:val="22"/>
                <w:szCs w:val="22"/>
                <w:rtl w:val="0"/>
              </w:rPr>
              <w:t xml:space="preserve">]) alapján a Társaság tagjai (a) jóváhagyták, hogy a Társaság a jelen Szerződésben meghatározott feltételek szerint megkösse a [OPCIONÁLIS: [sorozatszáma] sorozatú] Magvető Konvertálható Kölcsönszerződést, legfeljebb [összeg] euró összértékben (vagy a Jóváhagyási Megállapodás alapján jóváhagyott ennél magasabb összeg) történő finanszírozás biztosítása céljából (az ilyen megállapodások alapján nyújtott valamennyi konvertálható kölcsön – beleértve a jelen Szerződés alapján nyújtott Kölcsönöket is – a továbbiakban együttesen: „</w:t>
            </w:r>
            <w:r w:rsidDel="00000000" w:rsidR="00000000" w:rsidRPr="00000000">
              <w:rPr>
                <w:rFonts w:ascii="Times New Roman" w:cs="Times New Roman" w:eastAsia="Times New Roman" w:hAnsi="Times New Roman"/>
                <w:b w:val="1"/>
                <w:bCs w:val="1"/>
                <w:sz w:val="22"/>
                <w:szCs w:val="22"/>
                <w:rtl w:val="0"/>
              </w:rPr>
              <w:t xml:space="preserve">Konvertálható Körös Kölcsönök</w:t>
            </w:r>
            <w:r w:rsidDel="00000000" w:rsidR="00000000" w:rsidRPr="00000000">
              <w:rPr>
                <w:rFonts w:ascii="Times New Roman" w:cs="Times New Roman" w:eastAsia="Times New Roman" w:hAnsi="Times New Roman"/>
                <w:sz w:val="22"/>
                <w:szCs w:val="22"/>
                <w:rtl w:val="0"/>
              </w:rPr>
              <w:t xml:space="preserve">), továbbá (b) vállalják, hogy minden szükséges intézkedést megtesznek annak érdekében, hogy a Társaság teljesíteni tudja a Konvertálható Körös Kölcsönök konvertálásával kapcsolatos kötelezettségeit.</w:t>
            </w:r>
          </w:p>
        </w:tc>
        <w:tc>
          <w:tcPr/>
          <w:p w:rsidR="00000000" w:rsidDel="00000000" w:rsidP="00000000" w:rsidRDefault="00000000" w:rsidRPr="00000000" w14:paraId="00000010">
            <w:pPr>
              <w:ind w:left="745" w:hanging="74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B.</w:t>
            </w:r>
            <w:r w:rsidDel="00000000" w:rsidR="00000000" w:rsidRPr="00000000">
              <w:rPr>
                <w:rFonts w:ascii="Times New Roman" w:cs="Times New Roman" w:eastAsia="Times New Roman" w:hAnsi="Times New Roman"/>
                <w:sz w:val="22"/>
                <w:szCs w:val="22"/>
                <w:rtl w:val="0"/>
              </w:rPr>
              <w:tab/>
              <w:t xml:space="preserve">By an agreement regarding convertible loans dated [date] (the “</w:t>
            </w:r>
            <w:r w:rsidDel="00000000" w:rsidR="00000000" w:rsidRPr="00000000">
              <w:rPr>
                <w:rFonts w:ascii="Times New Roman" w:cs="Times New Roman" w:eastAsia="Times New Roman" w:hAnsi="Times New Roman"/>
                <w:b w:val="1"/>
                <w:bCs w:val="1"/>
                <w:sz w:val="22"/>
                <w:szCs w:val="22"/>
                <w:rtl w:val="0"/>
              </w:rPr>
              <w:t xml:space="preserve">Approval Agreement</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1"/>
                <w:iCs w:val="1"/>
                <w:sz w:val="22"/>
                <w:szCs w:val="22"/>
                <w:rtl w:val="0"/>
              </w:rPr>
              <w:t xml:space="preserve">see in the legal library]</w:t>
            </w:r>
            <w:r w:rsidDel="00000000" w:rsidR="00000000" w:rsidRPr="00000000">
              <w:rPr>
                <w:rFonts w:ascii="Times New Roman" w:cs="Times New Roman" w:eastAsia="Times New Roman" w:hAnsi="Times New Roman"/>
                <w:sz w:val="22"/>
                <w:szCs w:val="22"/>
                <w:rtl w:val="0"/>
              </w:rPr>
              <w:t xml:space="preserve">) the shareholders of the Company have (a) approved the entry into [OPTIONAL: Series [insert]]</w:t>
            </w:r>
            <w:r w:rsidDel="00000000" w:rsidR="00000000" w:rsidRPr="00000000">
              <w:rPr>
                <w:rFonts w:ascii="Times New Roman" w:cs="Times New Roman" w:eastAsia="Times New Roman" w:hAnsi="Times New Roman"/>
                <w:sz w:val="22"/>
                <w:szCs w:val="22"/>
                <w:vertAlign w:val="superscript"/>
              </w:rPr>
              <w:footnoteReference w:customMarkFollows="0" w:id="2"/>
            </w:r>
            <w:r w:rsidDel="00000000" w:rsidR="00000000" w:rsidRPr="00000000">
              <w:rPr>
                <w:rFonts w:ascii="Times New Roman" w:cs="Times New Roman" w:eastAsia="Times New Roman" w:hAnsi="Times New Roman"/>
                <w:sz w:val="22"/>
                <w:szCs w:val="22"/>
                <w:rtl w:val="0"/>
              </w:rPr>
              <w:t xml:space="preserve">  convertible loan agreements on the terms set forth in this Agreement to raise financing in the aggregate amount of up to EUR [insert] (or any higher amount approved under the Approval Agreement) (all convertible loans granted under such agreements, including the Loans granted under this Agreement, are hereinafter referred to as the “</w:t>
            </w:r>
            <w:r w:rsidDel="00000000" w:rsidR="00000000" w:rsidRPr="00000000">
              <w:rPr>
                <w:rFonts w:ascii="Times New Roman" w:cs="Times New Roman" w:eastAsia="Times New Roman" w:hAnsi="Times New Roman"/>
                <w:b w:val="1"/>
                <w:bCs w:val="1"/>
                <w:sz w:val="22"/>
                <w:szCs w:val="22"/>
                <w:rtl w:val="0"/>
              </w:rPr>
              <w:t xml:space="preserve">Convertible Round Loans</w:t>
            </w:r>
            <w:r w:rsidDel="00000000" w:rsidR="00000000" w:rsidRPr="00000000">
              <w:rPr>
                <w:rFonts w:ascii="Times New Roman" w:cs="Times New Roman" w:eastAsia="Times New Roman" w:hAnsi="Times New Roman"/>
                <w:sz w:val="22"/>
                <w:szCs w:val="22"/>
                <w:rtl w:val="0"/>
              </w:rPr>
              <w:t xml:space="preserve">”) and (b) agreed to take all actions in their power to allow the Company to perform its obligations regarding the conversion of Convertible Round Loans.</w:t>
            </w:r>
            <w:r w:rsidDel="00000000" w:rsidR="00000000" w:rsidRPr="00000000">
              <w:rPr>
                <w:rFonts w:ascii="Times New Roman" w:cs="Times New Roman" w:eastAsia="Times New Roman" w:hAnsi="Times New Roman"/>
                <w:sz w:val="22"/>
                <w:szCs w:val="22"/>
                <w:vertAlign w:val="superscript"/>
              </w:rPr>
              <w:footnoteReference w:customMarkFollows="0" w:id="3"/>
            </w:r>
            <w:r w:rsidDel="00000000" w:rsidR="00000000" w:rsidRPr="00000000">
              <w:rPr>
                <w:rtl w:val="0"/>
              </w:rPr>
            </w:r>
          </w:p>
        </w:tc>
      </w:tr>
      <w:tr>
        <w:trPr>
          <w:cantSplit w:val="0"/>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A FELEK A KÖVETKEZŐKBEN ÁLLAPODNAK MEG:</w:t>
            </w:r>
          </w:p>
        </w:tc>
        <w:tc>
          <w:tcPr/>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2"/>
                <w:szCs w:val="22"/>
              </w:rPr>
            </w:pPr>
            <w:r w:rsidDel="00000000" w:rsidR="00000000" w:rsidRPr="00000000">
              <w:rPr>
                <w:rFonts w:ascii="Times New Roman" w:cs="Times New Roman" w:eastAsia="Times New Roman" w:hAnsi="Times New Roman"/>
                <w:b w:val="1"/>
                <w:bCs w:val="1"/>
                <w:color w:val="000000"/>
                <w:sz w:val="22"/>
                <w:szCs w:val="22"/>
                <w:rtl w:val="0"/>
              </w:rPr>
              <w:t xml:space="preserve">THE PARTIES AGREE AS FOLLOWS:</w:t>
            </w:r>
          </w:p>
          <w:p w:rsidR="00000000" w:rsidDel="00000000" w:rsidP="00000000" w:rsidRDefault="00000000" w:rsidRPr="00000000" w14:paraId="00000013">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4">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w:t>
              <w:tab/>
              <w:t xml:space="preserve">KÖLCSÖN</w:t>
            </w:r>
          </w:p>
        </w:tc>
        <w:tc>
          <w:tcPr/>
          <w:p w:rsidR="00000000" w:rsidDel="00000000" w:rsidP="00000000" w:rsidRDefault="00000000" w:rsidRPr="00000000" w14:paraId="00000015">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w:t>
              <w:tab/>
              <w:t xml:space="preserve">LOAN</w:t>
            </w:r>
          </w:p>
        </w:tc>
      </w:tr>
      <w:tr>
        <w:trPr>
          <w:cantSplit w:val="0"/>
          <w:tblHeader w:val="0"/>
        </w:trPr>
        <w:tc>
          <w:tcPr/>
          <w:p w:rsidR="00000000" w:rsidDel="00000000" w:rsidP="00000000" w:rsidRDefault="00000000" w:rsidRPr="00000000" w14:paraId="0000001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w:t>
              <w:tab/>
            </w:r>
            <w:r w:rsidDel="00000000" w:rsidR="00000000" w:rsidRPr="00000000">
              <w:rPr>
                <w:rFonts w:ascii="Times New Roman" w:cs="Times New Roman" w:eastAsia="Times New Roman" w:hAnsi="Times New Roman"/>
                <w:b w:val="1"/>
                <w:bCs w:val="1"/>
                <w:sz w:val="22"/>
                <w:szCs w:val="22"/>
                <w:rtl w:val="0"/>
              </w:rPr>
              <w:t xml:space="preserve">Kölcsön</w:t>
            </w:r>
            <w:r w:rsidDel="00000000" w:rsidR="00000000" w:rsidRPr="00000000">
              <w:rPr>
                <w:rtl w:val="0"/>
              </w:rPr>
            </w:r>
          </w:p>
        </w:tc>
        <w:tc>
          <w:tcPr/>
          <w:p w:rsidR="00000000" w:rsidDel="00000000" w:rsidP="00000000" w:rsidRDefault="00000000" w:rsidRPr="00000000" w14:paraId="0000001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w:t>
              <w:tab/>
            </w:r>
            <w:r w:rsidDel="00000000" w:rsidR="00000000" w:rsidRPr="00000000">
              <w:rPr>
                <w:rFonts w:ascii="Times New Roman" w:cs="Times New Roman" w:eastAsia="Times New Roman" w:hAnsi="Times New Roman"/>
                <w:b w:val="1"/>
                <w:bCs w:val="1"/>
                <w:sz w:val="22"/>
                <w:szCs w:val="22"/>
                <w:rtl w:val="0"/>
              </w:rPr>
              <w:t xml:space="preserve">Loan</w:t>
            </w:r>
            <w:r w:rsidDel="00000000" w:rsidR="00000000" w:rsidRPr="00000000">
              <w:rPr>
                <w:rtl w:val="0"/>
              </w:rPr>
            </w:r>
          </w:p>
        </w:tc>
      </w:tr>
      <w:tr>
        <w:trPr>
          <w:cantSplit w:val="0"/>
          <w:tblHeader w:val="0"/>
        </w:trPr>
        <w:tc>
          <w:tcPr/>
          <w:p w:rsidR="00000000" w:rsidDel="00000000" w:rsidP="00000000" w:rsidRDefault="00000000" w:rsidRPr="00000000" w14:paraId="0000001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Befektető vállalja, hogy a Társaság részére [összeg] euró összegű kölcsönt nyújt.</w:t>
            </w:r>
          </w:p>
        </w:tc>
        <w:tc>
          <w:tcPr/>
          <w:p w:rsidR="00000000" w:rsidDel="00000000" w:rsidP="00000000" w:rsidRDefault="00000000" w:rsidRPr="00000000" w14:paraId="0000001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Investor shall grant to the Company a Loan in the amount of EUR [insert].</w:t>
            </w:r>
          </w:p>
        </w:tc>
      </w:tr>
      <w:tr>
        <w:trPr>
          <w:cantSplit w:val="0"/>
          <w:tblHeader w:val="0"/>
        </w:trPr>
        <w:tc>
          <w:tcPr/>
          <w:p w:rsidR="00000000" w:rsidDel="00000000" w:rsidP="00000000" w:rsidRDefault="00000000" w:rsidRPr="00000000" w14:paraId="0000001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w:t>
              <w:tab/>
            </w:r>
            <w:r w:rsidDel="00000000" w:rsidR="00000000" w:rsidRPr="00000000">
              <w:rPr>
                <w:rFonts w:ascii="Times New Roman" w:cs="Times New Roman" w:eastAsia="Times New Roman" w:hAnsi="Times New Roman"/>
                <w:b w:val="1"/>
                <w:bCs w:val="1"/>
                <w:sz w:val="22"/>
                <w:szCs w:val="22"/>
                <w:rtl w:val="0"/>
              </w:rPr>
              <w:t xml:space="preserve">Főbb fogalommeghatározások</w:t>
            </w:r>
            <w:r w:rsidDel="00000000" w:rsidR="00000000" w:rsidRPr="00000000">
              <w:rPr>
                <w:rtl w:val="0"/>
              </w:rPr>
            </w:r>
          </w:p>
        </w:tc>
        <w:tc>
          <w:tcPr/>
          <w:p w:rsidR="00000000" w:rsidDel="00000000" w:rsidP="00000000" w:rsidRDefault="00000000" w:rsidRPr="00000000" w14:paraId="0000001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w:t>
              <w:tab/>
            </w:r>
            <w:r w:rsidDel="00000000" w:rsidR="00000000" w:rsidRPr="00000000">
              <w:rPr>
                <w:rFonts w:ascii="Times New Roman" w:cs="Times New Roman" w:eastAsia="Times New Roman" w:hAnsi="Times New Roman"/>
                <w:b w:val="1"/>
                <w:bCs w:val="1"/>
                <w:sz w:val="22"/>
                <w:szCs w:val="22"/>
                <w:rtl w:val="0"/>
              </w:rPr>
              <w:t xml:space="preserve">Main terms</w:t>
            </w:r>
            <w:r w:rsidDel="00000000" w:rsidR="00000000" w:rsidRPr="00000000">
              <w:rPr>
                <w:rtl w:val="0"/>
              </w:rPr>
            </w:r>
          </w:p>
        </w:tc>
      </w:tr>
      <w:tr>
        <w:trPr>
          <w:cantSplit w:val="0"/>
          <w:tblHeader w:val="0"/>
        </w:trPr>
        <w:tc>
          <w:tcPr/>
          <w:p w:rsidR="00000000" w:rsidDel="00000000" w:rsidP="00000000" w:rsidRDefault="00000000" w:rsidRPr="00000000" w14:paraId="0000001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jelen Szerződésre a következő főbb fogalmak vonatkoznak:</w:t>
            </w:r>
          </w:p>
        </w:tc>
        <w:tc>
          <w:tcPr/>
          <w:p w:rsidR="00000000" w:rsidDel="00000000" w:rsidP="00000000" w:rsidRDefault="00000000" w:rsidRPr="00000000" w14:paraId="0000001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following main terms apply to this Agreement:</w:t>
            </w:r>
          </w:p>
        </w:tc>
      </w:tr>
      <w:tr>
        <w:trPr>
          <w:cantSplit w:val="0"/>
          <w:tblHeader w:val="0"/>
        </w:trPr>
        <w:tc>
          <w:tcPr/>
          <w:p w:rsidR="00000000" w:rsidDel="00000000" w:rsidP="00000000" w:rsidRDefault="00000000" w:rsidRPr="00000000" w14:paraId="0000001E">
            <w:pPr>
              <w:ind w:left="731" w:hanging="731"/>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1.2.1.</w:t>
              <w:tab/>
              <w:t xml:space="preserve">“</w:t>
            </w:r>
            <w:r w:rsidDel="00000000" w:rsidR="00000000" w:rsidRPr="00000000">
              <w:rPr>
                <w:rFonts w:ascii="Times New Roman" w:cs="Times New Roman" w:eastAsia="Times New Roman" w:hAnsi="Times New Roman"/>
                <w:b w:val="1"/>
                <w:bCs w:val="1"/>
                <w:sz w:val="22"/>
                <w:szCs w:val="22"/>
                <w:rtl w:val="0"/>
              </w:rPr>
              <w:t xml:space="preserve">Diszkont</w:t>
            </w:r>
            <w:r w:rsidDel="00000000" w:rsidR="00000000" w:rsidRPr="00000000">
              <w:rPr>
                <w:rFonts w:ascii="Times New Roman" w:cs="Times New Roman" w:eastAsia="Times New Roman" w:hAnsi="Times New Roman"/>
                <w:sz w:val="22"/>
                <w:szCs w:val="22"/>
                <w:rtl w:val="0"/>
              </w:rPr>
              <w:t xml:space="preserve">” mértéke [megállapodás szerinti diszkont] %;</w:t>
            </w:r>
          </w:p>
        </w:tc>
        <w:tc>
          <w:tcPr/>
          <w:p w:rsidR="00000000" w:rsidDel="00000000" w:rsidP="00000000" w:rsidRDefault="00000000" w:rsidRPr="00000000" w14:paraId="0000001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1.2.1</w:t>
              <w:tab/>
              <w:t xml:space="preserve">“</w:t>
            </w:r>
            <w:r w:rsidDel="00000000" w:rsidR="00000000" w:rsidRPr="00000000">
              <w:rPr>
                <w:rFonts w:ascii="Times New Roman" w:cs="Times New Roman" w:eastAsia="Times New Roman" w:hAnsi="Times New Roman"/>
                <w:b w:val="1"/>
                <w:bCs w:val="1"/>
                <w:sz w:val="22"/>
                <w:szCs w:val="22"/>
                <w:rtl w:val="0"/>
              </w:rPr>
              <w:t xml:space="preserve">Discount</w:t>
            </w:r>
            <w:r w:rsidDel="00000000" w:rsidR="00000000" w:rsidRPr="00000000">
              <w:rPr>
                <w:rFonts w:ascii="Times New Roman" w:cs="Times New Roman" w:eastAsia="Times New Roman" w:hAnsi="Times New Roman"/>
                <w:sz w:val="22"/>
                <w:szCs w:val="22"/>
                <w:rtl w:val="0"/>
              </w:rPr>
              <w:t xml:space="preserve">” is [insert agreed discount] %;</w:t>
            </w:r>
            <w:r w:rsidDel="00000000" w:rsidR="00000000" w:rsidRPr="00000000">
              <w:rPr>
                <w:rFonts w:ascii="Times New Roman" w:cs="Times New Roman" w:eastAsia="Times New Roman" w:hAnsi="Times New Roman"/>
                <w:sz w:val="22"/>
                <w:szCs w:val="22"/>
                <w:vertAlign w:val="superscript"/>
              </w:rPr>
              <w:footnoteReference w:customMarkFollows="0" w:id="4"/>
            </w:r>
            <w:r w:rsidDel="00000000" w:rsidR="00000000" w:rsidRPr="00000000">
              <w:rPr>
                <w:rtl w:val="0"/>
              </w:rPr>
            </w:r>
          </w:p>
        </w:tc>
      </w:tr>
      <w:tr>
        <w:trPr>
          <w:cantSplit w:val="0"/>
          <w:tblHeader w:val="0"/>
        </w:trPr>
        <w:tc>
          <w:tcPr/>
          <w:p w:rsidR="00000000" w:rsidDel="00000000" w:rsidP="00000000" w:rsidRDefault="00000000" w:rsidRPr="00000000" w14:paraId="0000002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1.2.2.</w:t>
              <w:tab/>
              <w:t xml:space="preserve">“</w:t>
            </w:r>
            <w:r w:rsidDel="00000000" w:rsidR="00000000" w:rsidRPr="00000000">
              <w:rPr>
                <w:rFonts w:ascii="Times New Roman" w:cs="Times New Roman" w:eastAsia="Times New Roman" w:hAnsi="Times New Roman"/>
                <w:b w:val="1"/>
                <w:bCs w:val="1"/>
                <w:sz w:val="22"/>
                <w:szCs w:val="22"/>
                <w:rtl w:val="0"/>
              </w:rPr>
              <w:t xml:space="preserve">Kamatláb</w:t>
            </w:r>
            <w:r w:rsidDel="00000000" w:rsidR="00000000" w:rsidRPr="00000000">
              <w:rPr>
                <w:rFonts w:ascii="Times New Roman" w:cs="Times New Roman" w:eastAsia="Times New Roman" w:hAnsi="Times New Roman"/>
                <w:sz w:val="22"/>
                <w:szCs w:val="22"/>
                <w:rtl w:val="0"/>
              </w:rPr>
              <w:t xml:space="preserve">” éves szinten: [kamat] %;</w:t>
            </w:r>
          </w:p>
        </w:tc>
        <w:tc>
          <w:tcPr/>
          <w:p w:rsidR="00000000" w:rsidDel="00000000" w:rsidP="00000000" w:rsidRDefault="00000000" w:rsidRPr="00000000" w14:paraId="0000002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1.2.2</w:t>
              <w:tab/>
              <w:t xml:space="preserve">“</w:t>
            </w:r>
            <w:r w:rsidDel="00000000" w:rsidR="00000000" w:rsidRPr="00000000">
              <w:rPr>
                <w:rFonts w:ascii="Times New Roman" w:cs="Times New Roman" w:eastAsia="Times New Roman" w:hAnsi="Times New Roman"/>
                <w:b w:val="1"/>
                <w:bCs w:val="1"/>
                <w:sz w:val="22"/>
                <w:szCs w:val="22"/>
                <w:rtl w:val="0"/>
              </w:rPr>
              <w:t xml:space="preserve">Interest Rate</w:t>
            </w:r>
            <w:r w:rsidDel="00000000" w:rsidR="00000000" w:rsidRPr="00000000">
              <w:rPr>
                <w:rFonts w:ascii="Times New Roman" w:cs="Times New Roman" w:eastAsia="Times New Roman" w:hAnsi="Times New Roman"/>
                <w:sz w:val="22"/>
                <w:szCs w:val="22"/>
                <w:rtl w:val="0"/>
              </w:rPr>
              <w:t xml:space="preserve">” is [insert] % per annum;</w:t>
            </w:r>
            <w:r w:rsidDel="00000000" w:rsidR="00000000" w:rsidRPr="00000000">
              <w:rPr>
                <w:rFonts w:ascii="Times New Roman" w:cs="Times New Roman" w:eastAsia="Times New Roman" w:hAnsi="Times New Roman"/>
                <w:b w:val="1"/>
                <w:bCs w:val="1"/>
                <w:sz w:val="22"/>
                <w:szCs w:val="22"/>
                <w:vertAlign w:val="superscript"/>
                <w:rtl w:val="0"/>
              </w:rPr>
              <w:t xml:space="preserve"> </w:t>
            </w:r>
            <w:r w:rsidDel="00000000" w:rsidR="00000000" w:rsidRPr="00000000">
              <w:rPr>
                <w:rFonts w:ascii="Times New Roman" w:cs="Times New Roman" w:eastAsia="Times New Roman" w:hAnsi="Times New Roman"/>
                <w:b w:val="1"/>
                <w:bCs w:val="1"/>
                <w:sz w:val="22"/>
                <w:szCs w:val="22"/>
                <w:vertAlign w:val="superscript"/>
              </w:rPr>
              <w:footnoteReference w:customMarkFollows="0" w:id="5"/>
            </w:r>
            <w:r w:rsidDel="00000000" w:rsidR="00000000" w:rsidRPr="00000000">
              <w:rPr>
                <w:rtl w:val="0"/>
              </w:rPr>
            </w:r>
          </w:p>
        </w:tc>
      </w:tr>
      <w:tr>
        <w:trPr>
          <w:cantSplit w:val="0"/>
          <w:tblHeader w:val="0"/>
        </w:trPr>
        <w:tc>
          <w:tcPr/>
          <w:p w:rsidR="00000000" w:rsidDel="00000000" w:rsidP="00000000" w:rsidRDefault="00000000" w:rsidRPr="00000000" w14:paraId="00000022">
            <w:pPr>
              <w:ind w:left="731" w:hanging="731"/>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1.2.3.</w:t>
            </w:r>
            <w:r w:rsidDel="00000000" w:rsidR="00000000" w:rsidRPr="00000000">
              <w:rPr>
                <w:rFonts w:ascii="Times New Roman" w:cs="Times New Roman" w:eastAsia="Times New Roman" w:hAnsi="Times New Roman"/>
                <w:b w:val="1"/>
                <w:bCs w:val="1"/>
                <w:sz w:val="22"/>
                <w:szCs w:val="22"/>
                <w:rtl w:val="0"/>
              </w:rPr>
              <w:t xml:space="preserve"> </w:t>
              <w:tab/>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rtl w:val="0"/>
              </w:rPr>
              <w:t xml:space="preserve">Befektetői többség</w:t>
            </w:r>
            <w:r w:rsidDel="00000000" w:rsidR="00000000" w:rsidRPr="00000000">
              <w:rPr>
                <w:rFonts w:ascii="Times New Roman" w:cs="Times New Roman" w:eastAsia="Times New Roman" w:hAnsi="Times New Roman"/>
                <w:sz w:val="22"/>
                <w:szCs w:val="22"/>
                <w:rtl w:val="0"/>
              </w:rPr>
              <w:t xml:space="preserve">”: azon személyek összessége, akiknek a fennálló Konvertálható Körös Kölcsönök keretében nyújtott kölcsönei meghaladják a minden fennálló Konvertálható Körös Kölcsön együttes összegének [50]%-át;</w:t>
            </w:r>
          </w:p>
        </w:tc>
        <w:tc>
          <w:tcPr/>
          <w:p w:rsidR="00000000" w:rsidDel="00000000" w:rsidP="00000000" w:rsidRDefault="00000000" w:rsidRPr="00000000" w14:paraId="00000023">
            <w:pPr>
              <w:ind w:left="745" w:hanging="74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1.2.3</w:t>
              <w:tab/>
              <w:t xml:space="preserve">“</w:t>
            </w:r>
            <w:r w:rsidDel="00000000" w:rsidR="00000000" w:rsidRPr="00000000">
              <w:rPr>
                <w:rFonts w:ascii="Times New Roman" w:cs="Times New Roman" w:eastAsia="Times New Roman" w:hAnsi="Times New Roman"/>
                <w:b w:val="1"/>
                <w:bCs w:val="1"/>
                <w:sz w:val="22"/>
                <w:szCs w:val="22"/>
                <w:rtl w:val="0"/>
              </w:rPr>
              <w:t xml:space="preserve">Investor Majority</w:t>
            </w:r>
            <w:r w:rsidDel="00000000" w:rsidR="00000000" w:rsidRPr="00000000">
              <w:rPr>
                <w:rFonts w:ascii="Times New Roman" w:cs="Times New Roman" w:eastAsia="Times New Roman" w:hAnsi="Times New Roman"/>
                <w:sz w:val="22"/>
                <w:szCs w:val="22"/>
                <w:rtl w:val="0"/>
              </w:rPr>
              <w:t xml:space="preserve">” are persons whose outstanding amounts of Convertible Round Loans represent more than [50]% of the aggregate outstanding amount of all Convertible Round Loans;</w:t>
            </w:r>
            <w:r w:rsidDel="00000000" w:rsidR="00000000" w:rsidRPr="00000000">
              <w:rPr>
                <w:rFonts w:ascii="Times New Roman" w:cs="Times New Roman" w:eastAsia="Times New Roman" w:hAnsi="Times New Roman"/>
                <w:sz w:val="22"/>
                <w:szCs w:val="22"/>
                <w:vertAlign w:val="superscript"/>
                <w:rtl w:val="0"/>
              </w:rPr>
              <w:t xml:space="preserve"> </w:t>
            </w:r>
            <w:r w:rsidDel="00000000" w:rsidR="00000000" w:rsidRPr="00000000">
              <w:rPr>
                <w:rFonts w:ascii="Times New Roman" w:cs="Times New Roman" w:eastAsia="Times New Roman" w:hAnsi="Times New Roman"/>
                <w:sz w:val="22"/>
                <w:szCs w:val="22"/>
                <w:vertAlign w:val="superscript"/>
              </w:rPr>
              <w:footnoteReference w:customMarkFollows="0" w:id="6"/>
            </w:r>
            <w:r w:rsidDel="00000000" w:rsidR="00000000" w:rsidRPr="00000000">
              <w:rPr>
                <w:rtl w:val="0"/>
              </w:rPr>
            </w:r>
          </w:p>
        </w:tc>
      </w:tr>
      <w:tr>
        <w:trPr>
          <w:cantSplit w:val="0"/>
          <w:tblHeader w:val="0"/>
        </w:trPr>
        <w:tc>
          <w:tcPr/>
          <w:p w:rsidR="00000000" w:rsidDel="00000000" w:rsidP="00000000" w:rsidRDefault="00000000" w:rsidRPr="00000000" w14:paraId="00000024">
            <w:pPr>
              <w:ind w:left="731" w:hanging="709"/>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1.2.4.</w:t>
              <w:tab/>
              <w:t xml:space="preserve">“</w:t>
            </w:r>
            <w:r w:rsidDel="00000000" w:rsidR="00000000" w:rsidRPr="00000000">
              <w:rPr>
                <w:rFonts w:ascii="Times New Roman" w:cs="Times New Roman" w:eastAsia="Times New Roman" w:hAnsi="Times New Roman"/>
                <w:b w:val="1"/>
                <w:bCs w:val="1"/>
                <w:sz w:val="22"/>
                <w:szCs w:val="22"/>
                <w:rtl w:val="0"/>
              </w:rPr>
              <w:t xml:space="preserve">Lejárat</w:t>
            </w:r>
            <w:r w:rsidDel="00000000" w:rsidR="00000000" w:rsidRPr="00000000">
              <w:rPr>
                <w:rFonts w:ascii="Times New Roman" w:cs="Times New Roman" w:eastAsia="Times New Roman" w:hAnsi="Times New Roman"/>
                <w:sz w:val="22"/>
                <w:szCs w:val="22"/>
                <w:rtl w:val="0"/>
              </w:rPr>
              <w:t xml:space="preserve">”: [dátum], vagy a Társaság és a Befektetői Többség által közösen megállapított későbbi időpont;</w:t>
            </w:r>
          </w:p>
        </w:tc>
        <w:tc>
          <w:tcPr/>
          <w:p w:rsidR="00000000" w:rsidDel="00000000" w:rsidP="00000000" w:rsidRDefault="00000000" w:rsidRPr="00000000" w14:paraId="00000025">
            <w:pPr>
              <w:ind w:left="745" w:hanging="74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1.2.4</w:t>
              <w:tab/>
              <w:t xml:space="preserve">“</w:t>
            </w:r>
            <w:r w:rsidDel="00000000" w:rsidR="00000000" w:rsidRPr="00000000">
              <w:rPr>
                <w:rFonts w:ascii="Times New Roman" w:cs="Times New Roman" w:eastAsia="Times New Roman" w:hAnsi="Times New Roman"/>
                <w:b w:val="1"/>
                <w:bCs w:val="1"/>
                <w:sz w:val="22"/>
                <w:szCs w:val="22"/>
                <w:rtl w:val="0"/>
              </w:rPr>
              <w:t xml:space="preserve">Maturity Date</w:t>
            </w:r>
            <w:r w:rsidDel="00000000" w:rsidR="00000000" w:rsidRPr="00000000">
              <w:rPr>
                <w:rFonts w:ascii="Times New Roman" w:cs="Times New Roman" w:eastAsia="Times New Roman" w:hAnsi="Times New Roman"/>
                <w:sz w:val="22"/>
                <w:szCs w:val="22"/>
                <w:rtl w:val="0"/>
              </w:rPr>
              <w:t xml:space="preserve">” is [insert] , or such later date as may be agreed by the Company and the Investor Majority;</w:t>
            </w:r>
            <w:r w:rsidDel="00000000" w:rsidR="00000000" w:rsidRPr="00000000">
              <w:rPr>
                <w:rFonts w:ascii="Times New Roman" w:cs="Times New Roman" w:eastAsia="Times New Roman" w:hAnsi="Times New Roman"/>
                <w:sz w:val="22"/>
                <w:szCs w:val="22"/>
                <w:vertAlign w:val="superscript"/>
                <w:rtl w:val="0"/>
              </w:rPr>
              <w:t xml:space="preserve"> </w:t>
            </w:r>
            <w:r w:rsidDel="00000000" w:rsidR="00000000" w:rsidRPr="00000000">
              <w:rPr>
                <w:rFonts w:ascii="Times New Roman" w:cs="Times New Roman" w:eastAsia="Times New Roman" w:hAnsi="Times New Roman"/>
                <w:sz w:val="22"/>
                <w:szCs w:val="22"/>
                <w:vertAlign w:val="superscript"/>
              </w:rPr>
              <w:footnoteReference w:customMarkFollows="0" w:id="7"/>
            </w:r>
            <w:r w:rsidDel="00000000" w:rsidR="00000000" w:rsidRPr="00000000">
              <w:rPr>
                <w:rtl w:val="0"/>
              </w:rPr>
            </w:r>
          </w:p>
        </w:tc>
      </w:tr>
      <w:tr>
        <w:trPr>
          <w:cantSplit w:val="0"/>
          <w:tblHeader w:val="0"/>
        </w:trPr>
        <w:tc>
          <w:tcPr/>
          <w:p w:rsidR="00000000" w:rsidDel="00000000" w:rsidP="00000000" w:rsidRDefault="00000000" w:rsidRPr="00000000" w14:paraId="0000002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1.2.5.</w:t>
              <w:tab/>
              <w:t xml:space="preserve">“</w:t>
            </w:r>
            <w:r w:rsidDel="00000000" w:rsidR="00000000" w:rsidRPr="00000000">
              <w:rPr>
                <w:rFonts w:ascii="Times New Roman" w:cs="Times New Roman" w:eastAsia="Times New Roman" w:hAnsi="Times New Roman"/>
                <w:b w:val="1"/>
                <w:bCs w:val="1"/>
                <w:sz w:val="22"/>
                <w:szCs w:val="22"/>
                <w:rtl w:val="0"/>
              </w:rPr>
              <w:t xml:space="preserve">Lejáratkori Értékelés</w:t>
            </w:r>
            <w:r w:rsidDel="00000000" w:rsidR="00000000" w:rsidRPr="00000000">
              <w:rPr>
                <w:rFonts w:ascii="Times New Roman" w:cs="Times New Roman" w:eastAsia="Times New Roman" w:hAnsi="Times New Roman"/>
                <w:sz w:val="22"/>
                <w:szCs w:val="22"/>
                <w:rtl w:val="0"/>
              </w:rPr>
              <w:t xml:space="preserve">”: [összeg] euró;</w:t>
            </w:r>
          </w:p>
        </w:tc>
        <w:tc>
          <w:tcPr/>
          <w:p w:rsidR="00000000" w:rsidDel="00000000" w:rsidP="00000000" w:rsidRDefault="00000000" w:rsidRPr="00000000" w14:paraId="0000002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1.2.5</w:t>
              <w:tab/>
              <w:t xml:space="preserve">“</w:t>
            </w:r>
            <w:r w:rsidDel="00000000" w:rsidR="00000000" w:rsidRPr="00000000">
              <w:rPr>
                <w:rFonts w:ascii="Times New Roman" w:cs="Times New Roman" w:eastAsia="Times New Roman" w:hAnsi="Times New Roman"/>
                <w:b w:val="1"/>
                <w:bCs w:val="1"/>
                <w:sz w:val="22"/>
                <w:szCs w:val="22"/>
                <w:rtl w:val="0"/>
              </w:rPr>
              <w:t xml:space="preserve">Maturity Valuation</w:t>
            </w:r>
            <w:r w:rsidDel="00000000" w:rsidR="00000000" w:rsidRPr="00000000">
              <w:rPr>
                <w:rFonts w:ascii="Times New Roman" w:cs="Times New Roman" w:eastAsia="Times New Roman" w:hAnsi="Times New Roman"/>
                <w:sz w:val="22"/>
                <w:szCs w:val="22"/>
                <w:rtl w:val="0"/>
              </w:rPr>
              <w:t xml:space="preserve">” is EUR [insert];</w:t>
            </w:r>
            <w:r w:rsidDel="00000000" w:rsidR="00000000" w:rsidRPr="00000000">
              <w:rPr>
                <w:rFonts w:ascii="Times New Roman" w:cs="Times New Roman" w:eastAsia="Times New Roman" w:hAnsi="Times New Roman"/>
                <w:sz w:val="22"/>
                <w:szCs w:val="22"/>
                <w:vertAlign w:val="superscript"/>
                <w:rtl w:val="0"/>
              </w:rPr>
              <w:t xml:space="preserve"> </w:t>
            </w:r>
            <w:r w:rsidDel="00000000" w:rsidR="00000000" w:rsidRPr="00000000">
              <w:rPr>
                <w:rFonts w:ascii="Times New Roman" w:cs="Times New Roman" w:eastAsia="Times New Roman" w:hAnsi="Times New Roman"/>
                <w:sz w:val="22"/>
                <w:szCs w:val="22"/>
                <w:vertAlign w:val="superscript"/>
              </w:rPr>
              <w:footnoteReference w:customMarkFollows="0" w:id="8"/>
            </w:r>
            <w:r w:rsidDel="00000000" w:rsidR="00000000" w:rsidRPr="00000000">
              <w:rPr>
                <w:rtl w:val="0"/>
              </w:rPr>
            </w:r>
          </w:p>
        </w:tc>
      </w:tr>
      <w:tr>
        <w:trPr>
          <w:cantSplit w:val="0"/>
          <w:tblHeader w:val="0"/>
        </w:trPr>
        <w:tc>
          <w:tcPr/>
          <w:p w:rsidR="00000000" w:rsidDel="00000000" w:rsidP="00000000" w:rsidRDefault="00000000" w:rsidRPr="00000000" w14:paraId="00000028">
            <w:pPr>
              <w:ind w:left="731" w:hanging="731"/>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1.2.6.</w:t>
              <w:tab/>
              <w:t xml:space="preserve">“</w:t>
            </w:r>
            <w:r w:rsidDel="00000000" w:rsidR="00000000" w:rsidRPr="00000000">
              <w:rPr>
                <w:rFonts w:ascii="Times New Roman" w:cs="Times New Roman" w:eastAsia="Times New Roman" w:hAnsi="Times New Roman"/>
                <w:b w:val="1"/>
                <w:bCs w:val="1"/>
                <w:sz w:val="22"/>
                <w:szCs w:val="22"/>
                <w:rtl w:val="0"/>
              </w:rPr>
              <w:t xml:space="preserve">Minősített Finanszírozási Küszöb</w:t>
            </w:r>
            <w:r w:rsidDel="00000000" w:rsidR="00000000" w:rsidRPr="00000000">
              <w:rPr>
                <w:rFonts w:ascii="Times New Roman" w:cs="Times New Roman" w:eastAsia="Times New Roman" w:hAnsi="Times New Roman"/>
                <w:sz w:val="22"/>
                <w:szCs w:val="22"/>
                <w:rtl w:val="0"/>
              </w:rPr>
              <w:t xml:space="preserve">”: [összeg] euró;</w:t>
            </w:r>
          </w:p>
        </w:tc>
        <w:tc>
          <w:tcPr/>
          <w:p w:rsidR="00000000" w:rsidDel="00000000" w:rsidP="00000000" w:rsidRDefault="00000000" w:rsidRPr="00000000" w14:paraId="00000029">
            <w:pPr>
              <w:ind w:left="745" w:hanging="74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1.2.6</w:t>
              <w:tab/>
              <w:t xml:space="preserve">“</w:t>
            </w:r>
            <w:r w:rsidDel="00000000" w:rsidR="00000000" w:rsidRPr="00000000">
              <w:rPr>
                <w:rFonts w:ascii="Times New Roman" w:cs="Times New Roman" w:eastAsia="Times New Roman" w:hAnsi="Times New Roman"/>
                <w:b w:val="1"/>
                <w:bCs w:val="1"/>
                <w:sz w:val="22"/>
                <w:szCs w:val="22"/>
                <w:rtl w:val="0"/>
              </w:rPr>
              <w:t xml:space="preserve">Qualified Financing Threshold</w:t>
            </w:r>
            <w:r w:rsidDel="00000000" w:rsidR="00000000" w:rsidRPr="00000000">
              <w:rPr>
                <w:rFonts w:ascii="Times New Roman" w:cs="Times New Roman" w:eastAsia="Times New Roman" w:hAnsi="Times New Roman"/>
                <w:sz w:val="22"/>
                <w:szCs w:val="22"/>
                <w:rtl w:val="0"/>
              </w:rPr>
              <w:t xml:space="preserve">” is EUR [insert ];</w:t>
            </w:r>
            <w:r w:rsidDel="00000000" w:rsidR="00000000" w:rsidRPr="00000000">
              <w:rPr>
                <w:rFonts w:ascii="Times New Roman" w:cs="Times New Roman" w:eastAsia="Times New Roman" w:hAnsi="Times New Roman"/>
                <w:sz w:val="22"/>
                <w:szCs w:val="22"/>
                <w:vertAlign w:val="superscript"/>
                <w:rtl w:val="0"/>
              </w:rPr>
              <w:t xml:space="preserve"> </w:t>
            </w:r>
            <w:r w:rsidDel="00000000" w:rsidR="00000000" w:rsidRPr="00000000">
              <w:rPr>
                <w:rFonts w:ascii="Times New Roman" w:cs="Times New Roman" w:eastAsia="Times New Roman" w:hAnsi="Times New Roman"/>
                <w:sz w:val="22"/>
                <w:szCs w:val="22"/>
                <w:vertAlign w:val="superscript"/>
              </w:rPr>
              <w:footnoteReference w:customMarkFollows="0" w:id="9"/>
            </w:r>
            <w:r w:rsidDel="00000000" w:rsidR="00000000" w:rsidRPr="00000000">
              <w:rPr>
                <w:rtl w:val="0"/>
              </w:rPr>
            </w:r>
          </w:p>
        </w:tc>
      </w:tr>
      <w:tr>
        <w:trPr>
          <w:cantSplit w:val="0"/>
          <w:tblHeader w:val="0"/>
        </w:trPr>
        <w:tc>
          <w:tcPr/>
          <w:p w:rsidR="00000000" w:rsidDel="00000000" w:rsidP="00000000" w:rsidRDefault="00000000" w:rsidRPr="00000000" w14:paraId="0000002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1.2.7.</w:t>
              <w:tab/>
              <w:t xml:space="preserve">“</w:t>
            </w:r>
            <w:r w:rsidDel="00000000" w:rsidR="00000000" w:rsidRPr="00000000">
              <w:rPr>
                <w:rFonts w:ascii="Times New Roman" w:cs="Times New Roman" w:eastAsia="Times New Roman" w:hAnsi="Times New Roman"/>
                <w:b w:val="1"/>
                <w:bCs w:val="1"/>
                <w:sz w:val="22"/>
                <w:szCs w:val="22"/>
                <w:rtl w:val="0"/>
              </w:rPr>
              <w:t xml:space="preserve">Értékelési Plafon</w:t>
            </w:r>
            <w:r w:rsidDel="00000000" w:rsidR="00000000" w:rsidRPr="00000000">
              <w:rPr>
                <w:rFonts w:ascii="Times New Roman" w:cs="Times New Roman" w:eastAsia="Times New Roman" w:hAnsi="Times New Roman"/>
                <w:sz w:val="22"/>
                <w:szCs w:val="22"/>
                <w:rtl w:val="0"/>
              </w:rPr>
              <w:t xml:space="preserve">”: [összeg] euró</w:t>
            </w:r>
          </w:p>
        </w:tc>
        <w:tc>
          <w:tcPr/>
          <w:p w:rsidR="00000000" w:rsidDel="00000000" w:rsidP="00000000" w:rsidRDefault="00000000" w:rsidRPr="00000000" w14:paraId="0000002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1.2.7</w:t>
              <w:tab/>
              <w:t xml:space="preserve">“</w:t>
            </w:r>
            <w:r w:rsidDel="00000000" w:rsidR="00000000" w:rsidRPr="00000000">
              <w:rPr>
                <w:rFonts w:ascii="Times New Roman" w:cs="Times New Roman" w:eastAsia="Times New Roman" w:hAnsi="Times New Roman"/>
                <w:b w:val="1"/>
                <w:bCs w:val="1"/>
                <w:sz w:val="22"/>
                <w:szCs w:val="22"/>
                <w:rtl w:val="0"/>
              </w:rPr>
              <w:t xml:space="preserve">Valuation Cap</w:t>
            </w:r>
            <w:r w:rsidDel="00000000" w:rsidR="00000000" w:rsidRPr="00000000">
              <w:rPr>
                <w:rFonts w:ascii="Times New Roman" w:cs="Times New Roman" w:eastAsia="Times New Roman" w:hAnsi="Times New Roman"/>
                <w:sz w:val="22"/>
                <w:szCs w:val="22"/>
                <w:rtl w:val="0"/>
              </w:rPr>
              <w:t xml:space="preserve">” is EUR [insert].</w:t>
            </w:r>
            <w:r w:rsidDel="00000000" w:rsidR="00000000" w:rsidRPr="00000000">
              <w:rPr>
                <w:rFonts w:ascii="Times New Roman" w:cs="Times New Roman" w:eastAsia="Times New Roman" w:hAnsi="Times New Roman"/>
                <w:sz w:val="22"/>
                <w:szCs w:val="22"/>
                <w:vertAlign w:val="superscript"/>
                <w:rtl w:val="0"/>
              </w:rPr>
              <w:t xml:space="preserve"> </w:t>
            </w:r>
            <w:r w:rsidDel="00000000" w:rsidR="00000000" w:rsidRPr="00000000">
              <w:rPr>
                <w:rFonts w:ascii="Times New Roman" w:cs="Times New Roman" w:eastAsia="Times New Roman" w:hAnsi="Times New Roman"/>
                <w:sz w:val="22"/>
                <w:szCs w:val="22"/>
                <w:vertAlign w:val="superscript"/>
              </w:rPr>
              <w:footnoteReference w:customMarkFollows="0" w:id="10"/>
            </w:r>
            <w:r w:rsidDel="00000000" w:rsidR="00000000" w:rsidRPr="00000000">
              <w:rPr>
                <w:rtl w:val="0"/>
              </w:rPr>
            </w:r>
          </w:p>
        </w:tc>
      </w:tr>
      <w:tr>
        <w:trPr>
          <w:cantSplit w:val="0"/>
          <w:tblHeader w:val="0"/>
        </w:trPr>
        <w:tc>
          <w:tcPr/>
          <w:p w:rsidR="00000000" w:rsidDel="00000000" w:rsidP="00000000" w:rsidRDefault="00000000" w:rsidRPr="00000000" w14:paraId="0000002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w:t>
              <w:tab/>
            </w:r>
            <w:r w:rsidDel="00000000" w:rsidR="00000000" w:rsidRPr="00000000">
              <w:rPr>
                <w:rFonts w:ascii="Times New Roman" w:cs="Times New Roman" w:eastAsia="Times New Roman" w:hAnsi="Times New Roman"/>
                <w:b w:val="1"/>
                <w:bCs w:val="1"/>
                <w:sz w:val="22"/>
                <w:szCs w:val="22"/>
                <w:rtl w:val="0"/>
              </w:rPr>
              <w:t xml:space="preserve">Rendeltetésszerű felhasználás</w:t>
            </w:r>
            <w:r w:rsidDel="00000000" w:rsidR="00000000" w:rsidRPr="00000000">
              <w:rPr>
                <w:rtl w:val="0"/>
              </w:rPr>
            </w:r>
          </w:p>
        </w:tc>
        <w:tc>
          <w:tcPr/>
          <w:p w:rsidR="00000000" w:rsidDel="00000000" w:rsidP="00000000" w:rsidRDefault="00000000" w:rsidRPr="00000000" w14:paraId="0000002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w:t>
              <w:tab/>
            </w:r>
            <w:r w:rsidDel="00000000" w:rsidR="00000000" w:rsidRPr="00000000">
              <w:rPr>
                <w:rFonts w:ascii="Times New Roman" w:cs="Times New Roman" w:eastAsia="Times New Roman" w:hAnsi="Times New Roman"/>
                <w:b w:val="1"/>
                <w:bCs w:val="1"/>
                <w:sz w:val="22"/>
                <w:szCs w:val="22"/>
                <w:rtl w:val="0"/>
              </w:rPr>
              <w:t xml:space="preserve">Intended use</w:t>
            </w:r>
            <w:r w:rsidDel="00000000" w:rsidR="00000000" w:rsidRPr="00000000">
              <w:rPr>
                <w:rtl w:val="0"/>
              </w:rPr>
            </w:r>
          </w:p>
        </w:tc>
      </w:tr>
      <w:tr>
        <w:trPr>
          <w:cantSplit w:val="0"/>
          <w:tblHeader w:val="0"/>
        </w:trPr>
        <w:tc>
          <w:tcPr/>
          <w:p w:rsidR="00000000" w:rsidDel="00000000" w:rsidP="00000000" w:rsidRDefault="00000000" w:rsidRPr="00000000" w14:paraId="0000002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Társaság és az </w:t>
            </w:r>
            <w:r w:rsidDel="00000000" w:rsidR="00000000" w:rsidRPr="00000000">
              <w:rPr>
                <w:rFonts w:ascii="Times New Roman" w:cs="Times New Roman" w:eastAsia="Times New Roman" w:hAnsi="Times New Roman"/>
                <w:sz w:val="22"/>
                <w:szCs w:val="22"/>
                <w:rtl w:val="0"/>
              </w:rPr>
              <w:t xml:space="preserve">Alapítók kötelesek biztosítani, hogy a Kölcsönt kizárólag az Tevékenység fejlesztésére használják fel.</w:t>
            </w:r>
          </w:p>
        </w:tc>
        <w:tc>
          <w:tcPr/>
          <w:p w:rsidR="00000000" w:rsidDel="00000000" w:rsidP="00000000" w:rsidRDefault="00000000" w:rsidRPr="00000000" w14:paraId="0000002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Company and the Founders shall ensure that the Loan is used solely for the purpose of developing the Business.</w:t>
            </w:r>
          </w:p>
        </w:tc>
      </w:tr>
      <w:tr>
        <w:trPr>
          <w:cantSplit w:val="0"/>
          <w:tblHeader w:val="0"/>
        </w:trPr>
        <w:tc>
          <w:tcPr/>
          <w:p w:rsidR="00000000" w:rsidDel="00000000" w:rsidP="00000000" w:rsidRDefault="00000000" w:rsidRPr="00000000" w14:paraId="0000003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tab/>
            </w:r>
            <w:r w:rsidDel="00000000" w:rsidR="00000000" w:rsidRPr="00000000">
              <w:rPr>
                <w:rFonts w:ascii="Times New Roman" w:cs="Times New Roman" w:eastAsia="Times New Roman" w:hAnsi="Times New Roman"/>
                <w:b w:val="1"/>
                <w:bCs w:val="1"/>
                <w:sz w:val="22"/>
                <w:szCs w:val="22"/>
                <w:rtl w:val="0"/>
              </w:rPr>
              <w:t xml:space="preserve">Kölcsön teljesítése</w:t>
            </w:r>
            <w:r w:rsidDel="00000000" w:rsidR="00000000" w:rsidRPr="00000000">
              <w:rPr>
                <w:rtl w:val="0"/>
              </w:rPr>
            </w:r>
          </w:p>
        </w:tc>
        <w:tc>
          <w:tcPr/>
          <w:p w:rsidR="00000000" w:rsidDel="00000000" w:rsidP="00000000" w:rsidRDefault="00000000" w:rsidRPr="00000000" w14:paraId="0000003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tab/>
            </w:r>
            <w:r w:rsidDel="00000000" w:rsidR="00000000" w:rsidRPr="00000000">
              <w:rPr>
                <w:rFonts w:ascii="Times New Roman" w:cs="Times New Roman" w:eastAsia="Times New Roman" w:hAnsi="Times New Roman"/>
                <w:b w:val="1"/>
                <w:bCs w:val="1"/>
                <w:sz w:val="22"/>
                <w:szCs w:val="22"/>
                <w:rtl w:val="0"/>
              </w:rPr>
              <w:t xml:space="preserve">Transfer of Loans</w:t>
            </w:r>
            <w:r w:rsidDel="00000000" w:rsidR="00000000" w:rsidRPr="00000000">
              <w:rPr>
                <w:rtl w:val="0"/>
              </w:rPr>
            </w:r>
          </w:p>
        </w:tc>
      </w:tr>
      <w:tr>
        <w:trPr>
          <w:cantSplit w:val="0"/>
          <w:tblHeader w:val="0"/>
        </w:trPr>
        <w:tc>
          <w:tcPr/>
          <w:p w:rsidR="00000000" w:rsidDel="00000000" w:rsidP="00000000" w:rsidRDefault="00000000" w:rsidRPr="00000000" w14:paraId="0000003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Társaság köteles értesíteni a Befektetőt, amint a Szerződést valamennyi Fél aláírta. A Befektető köteles a Kölcsön összegét a Társaság bankszámlájára átutalni (számlatulajdonos neve: [név], IBAN: [IBAN], bank neve: [név], SWIFT/BIC: [SWIFT/BIC]) a fenti értesítés kézhezvételétől számított [napok száma] napon belül (a továbbiakban: „</w:t>
            </w:r>
            <w:r w:rsidDel="00000000" w:rsidR="00000000" w:rsidRPr="00000000">
              <w:rPr>
                <w:rFonts w:ascii="Times New Roman" w:cs="Times New Roman" w:eastAsia="Times New Roman" w:hAnsi="Times New Roman"/>
                <w:b w:val="1"/>
                <w:bCs w:val="1"/>
                <w:sz w:val="22"/>
                <w:szCs w:val="22"/>
                <w:rtl w:val="0"/>
              </w:rPr>
              <w:t xml:space="preserve">Fizetési Határidő</w:t>
            </w:r>
            <w:r w:rsidDel="00000000" w:rsidR="00000000" w:rsidRPr="00000000">
              <w:rPr>
                <w:rFonts w:ascii="Times New Roman" w:cs="Times New Roman" w:eastAsia="Times New Roman" w:hAnsi="Times New Roman"/>
                <w:sz w:val="22"/>
                <w:szCs w:val="22"/>
                <w:rtl w:val="0"/>
              </w:rPr>
              <w:t xml:space="preserve">”). A Társaság köteles értesíteni a Befektetőt a Kölcsön összegének beérkezéséről. Amennyiben a Kölcsön a Fizetési Határidőn belül nem érkezik meg, a Társaság emlékeztető felszólítást küld a Befektető részére, amelyben újabb, öt (5) munkanapos póthatáridőt (a továbbiakban: „</w:t>
            </w:r>
            <w:r w:rsidDel="00000000" w:rsidR="00000000" w:rsidRPr="00000000">
              <w:rPr>
                <w:rFonts w:ascii="Times New Roman" w:cs="Times New Roman" w:eastAsia="Times New Roman" w:hAnsi="Times New Roman"/>
                <w:b w:val="1"/>
                <w:bCs w:val="1"/>
                <w:sz w:val="22"/>
                <w:szCs w:val="22"/>
                <w:rtl w:val="0"/>
              </w:rPr>
              <w:t xml:space="preserve">Póthatáridő</w:t>
            </w:r>
            <w:r w:rsidDel="00000000" w:rsidR="00000000" w:rsidRPr="00000000">
              <w:rPr>
                <w:rFonts w:ascii="Times New Roman" w:cs="Times New Roman" w:eastAsia="Times New Roman" w:hAnsi="Times New Roman"/>
                <w:sz w:val="22"/>
                <w:szCs w:val="22"/>
                <w:rtl w:val="0"/>
              </w:rPr>
              <w:t xml:space="preserve">”) szab a Kölcsön rendelkezésre bocsátására.</w:t>
            </w:r>
          </w:p>
        </w:tc>
        <w:tc>
          <w:tcPr/>
          <w:p w:rsidR="00000000" w:rsidDel="00000000" w:rsidP="00000000" w:rsidRDefault="00000000" w:rsidRPr="00000000" w14:paraId="0000003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Company shall notify the Investor once the Agreement has been signed by all Parties. The Investor shall transfer its Loan to the Company’s bank account (details: Name of account holder [name], IBAN [IBAN], name of the bank [name], SWIFT/BIC [SWIFT/BIC]) within [number]</w:t>
            </w:r>
            <w:r w:rsidDel="00000000" w:rsidR="00000000" w:rsidRPr="00000000">
              <w:rPr>
                <w:rFonts w:ascii="Times New Roman" w:cs="Times New Roman" w:eastAsia="Times New Roman" w:hAnsi="Times New Roman"/>
                <w:sz w:val="22"/>
                <w:szCs w:val="22"/>
                <w:vertAlign w:val="superscript"/>
              </w:rPr>
              <w:footnoteReference w:customMarkFollows="0" w:id="11"/>
            </w:r>
            <w:r w:rsidDel="00000000" w:rsidR="00000000" w:rsidRPr="00000000">
              <w:rPr>
                <w:rFonts w:ascii="Times New Roman" w:cs="Times New Roman" w:eastAsia="Times New Roman" w:hAnsi="Times New Roman"/>
                <w:sz w:val="22"/>
                <w:szCs w:val="22"/>
                <w:rtl w:val="0"/>
              </w:rPr>
              <w:t xml:space="preserve"> days of the receipt of such notice (the “</w:t>
            </w:r>
            <w:r w:rsidDel="00000000" w:rsidR="00000000" w:rsidRPr="00000000">
              <w:rPr>
                <w:rFonts w:ascii="Times New Roman" w:cs="Times New Roman" w:eastAsia="Times New Roman" w:hAnsi="Times New Roman"/>
                <w:b w:val="1"/>
                <w:bCs w:val="1"/>
                <w:sz w:val="22"/>
                <w:szCs w:val="22"/>
                <w:rtl w:val="0"/>
              </w:rPr>
              <w:t xml:space="preserve">Payment Term</w:t>
            </w:r>
            <w:r w:rsidDel="00000000" w:rsidR="00000000" w:rsidRPr="00000000">
              <w:rPr>
                <w:rFonts w:ascii="Times New Roman" w:cs="Times New Roman" w:eastAsia="Times New Roman" w:hAnsi="Times New Roman"/>
                <w:sz w:val="22"/>
                <w:szCs w:val="22"/>
                <w:rtl w:val="0"/>
              </w:rPr>
              <w:t xml:space="preserve">”). The Company shall notify the Investor of the receipt of the Loan. If the Company has not received the Loan within the Payment Term, it shall send the Investor a reminder (request) to transfer its Loan within five Business Days of such notice (the “</w:t>
            </w:r>
            <w:r w:rsidDel="00000000" w:rsidR="00000000" w:rsidRPr="00000000">
              <w:rPr>
                <w:rFonts w:ascii="Times New Roman" w:cs="Times New Roman" w:eastAsia="Times New Roman" w:hAnsi="Times New Roman"/>
                <w:b w:val="1"/>
                <w:bCs w:val="1"/>
                <w:sz w:val="22"/>
                <w:szCs w:val="22"/>
                <w:rtl w:val="0"/>
              </w:rPr>
              <w:t xml:space="preserve">Additional Payment Term</w:t>
            </w:r>
            <w:r w:rsidDel="00000000" w:rsidR="00000000" w:rsidRPr="00000000">
              <w:rPr>
                <w:rFonts w:ascii="Times New Roman" w:cs="Times New Roman" w:eastAsia="Times New Roman" w:hAnsi="Times New Roman"/>
                <w:sz w:val="22"/>
                <w:szCs w:val="22"/>
                <w:rtl w:val="0"/>
              </w:rPr>
              <w:t xml:space="preserve">”).</w:t>
            </w:r>
          </w:p>
        </w:tc>
      </w:tr>
      <w:tr>
        <w:trPr>
          <w:cantSplit w:val="0"/>
          <w:tblHeader w:val="0"/>
        </w:trPr>
        <w:tc>
          <w:tcPr/>
          <w:p w:rsidR="00000000" w:rsidDel="00000000" w:rsidP="00000000" w:rsidRDefault="00000000" w:rsidRPr="00000000" w14:paraId="0000003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w:t>
              <w:tab/>
            </w:r>
            <w:r w:rsidDel="00000000" w:rsidR="00000000" w:rsidRPr="00000000">
              <w:rPr>
                <w:rFonts w:ascii="Times New Roman" w:cs="Times New Roman" w:eastAsia="Times New Roman" w:hAnsi="Times New Roman"/>
                <w:b w:val="1"/>
                <w:bCs w:val="1"/>
                <w:sz w:val="22"/>
                <w:szCs w:val="22"/>
                <w:rtl w:val="0"/>
              </w:rPr>
              <w:t xml:space="preserve">Befektető késedelme</w:t>
            </w:r>
            <w:r w:rsidDel="00000000" w:rsidR="00000000" w:rsidRPr="00000000">
              <w:rPr>
                <w:rtl w:val="0"/>
              </w:rPr>
            </w:r>
          </w:p>
        </w:tc>
        <w:tc>
          <w:tcPr/>
          <w:p w:rsidR="00000000" w:rsidDel="00000000" w:rsidP="00000000" w:rsidRDefault="00000000" w:rsidRPr="00000000" w14:paraId="0000003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w:t>
              <w:tab/>
            </w:r>
            <w:r w:rsidDel="00000000" w:rsidR="00000000" w:rsidRPr="00000000">
              <w:rPr>
                <w:rFonts w:ascii="Times New Roman" w:cs="Times New Roman" w:eastAsia="Times New Roman" w:hAnsi="Times New Roman"/>
                <w:b w:val="1"/>
                <w:bCs w:val="1"/>
                <w:sz w:val="22"/>
                <w:szCs w:val="22"/>
                <w:rtl w:val="0"/>
              </w:rPr>
              <w:t xml:space="preserve">Investor’s payment default</w:t>
            </w:r>
            <w:r w:rsidDel="00000000" w:rsidR="00000000" w:rsidRPr="00000000">
              <w:rPr>
                <w:rtl w:val="0"/>
              </w:rPr>
            </w:r>
          </w:p>
        </w:tc>
      </w:tr>
      <w:tr>
        <w:trPr>
          <w:cantSplit w:val="0"/>
          <w:tblHeader w:val="0"/>
        </w:trPr>
        <w:tc>
          <w:tcPr/>
          <w:p w:rsidR="00000000" w:rsidDel="00000000" w:rsidP="00000000" w:rsidRDefault="00000000" w:rsidRPr="00000000" w14:paraId="0000003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 Befektető a Póthatáridő lejártáig nem bocsátja a Társaság rendelkezésére a Kölcsön teljes összegét, a Társaság jogosult a jelen Szerződéstől elállni.</w:t>
            </w:r>
          </w:p>
        </w:tc>
        <w:tc>
          <w:tcPr/>
          <w:p w:rsidR="00000000" w:rsidDel="00000000" w:rsidP="00000000" w:rsidRDefault="00000000" w:rsidRPr="00000000" w14:paraId="0000003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Investor has not transferred its entire Loan to the Company by the expiry of the Additional Payment Term, the Company shall have the right to withdraw from this Agreement.</w:t>
            </w:r>
          </w:p>
        </w:tc>
      </w:tr>
      <w:tr>
        <w:trPr>
          <w:cantSplit w:val="0"/>
          <w:tblHeader w:val="0"/>
        </w:trPr>
        <w:tc>
          <w:tcPr/>
          <w:p w:rsidR="00000000" w:rsidDel="00000000" w:rsidP="00000000" w:rsidRDefault="00000000" w:rsidRPr="00000000" w14:paraId="0000003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1.6.</w:t>
              <w:tab/>
            </w:r>
            <w:r w:rsidDel="00000000" w:rsidR="00000000" w:rsidRPr="00000000">
              <w:rPr>
                <w:rFonts w:ascii="Times New Roman" w:cs="Times New Roman" w:eastAsia="Times New Roman" w:hAnsi="Times New Roman"/>
                <w:b w:val="1"/>
                <w:bCs w:val="1"/>
                <w:sz w:val="22"/>
                <w:szCs w:val="22"/>
                <w:rtl w:val="0"/>
              </w:rPr>
              <w:t xml:space="preserve">Kötbér késedelem esetén</w:t>
            </w:r>
            <w:r w:rsidDel="00000000" w:rsidR="00000000" w:rsidRPr="00000000">
              <w:rPr>
                <w:rtl w:val="0"/>
              </w:rPr>
            </w:r>
          </w:p>
        </w:tc>
        <w:tc>
          <w:tcPr/>
          <w:p w:rsidR="00000000" w:rsidDel="00000000" w:rsidP="00000000" w:rsidRDefault="00000000" w:rsidRPr="00000000" w14:paraId="0000003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1.6</w:t>
              <w:tab/>
            </w:r>
            <w:r w:rsidDel="00000000" w:rsidR="00000000" w:rsidRPr="00000000">
              <w:rPr>
                <w:rFonts w:ascii="Times New Roman" w:cs="Times New Roman" w:eastAsia="Times New Roman" w:hAnsi="Times New Roman"/>
                <w:b w:val="1"/>
                <w:bCs w:val="1"/>
                <w:sz w:val="22"/>
                <w:szCs w:val="22"/>
                <w:rtl w:val="0"/>
              </w:rPr>
              <w:t xml:space="preserve">Penalty for default</w:t>
            </w:r>
            <w:r w:rsidDel="00000000" w:rsidR="00000000" w:rsidRPr="00000000">
              <w:rPr>
                <w:rtl w:val="0"/>
              </w:rPr>
            </w:r>
          </w:p>
        </w:tc>
      </w:tr>
      <w:tr>
        <w:trPr>
          <w:cantSplit w:val="0"/>
          <w:tblHeader w:val="0"/>
        </w:trPr>
        <w:tc>
          <w:tcPr/>
          <w:p w:rsidR="00000000" w:rsidDel="00000000" w:rsidP="00000000" w:rsidRDefault="00000000" w:rsidRPr="00000000" w14:paraId="0000003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 a Társaság az 1.5. pont alapján eláll a Szerződéstől, jogosult a Kölcsön összegének [10]%-át kötbér jogcímén követelni a Befektetőtől.</w:t>
            </w:r>
          </w:p>
        </w:tc>
        <w:tc>
          <w:tcPr/>
          <w:p w:rsidR="00000000" w:rsidDel="00000000" w:rsidP="00000000" w:rsidRDefault="00000000" w:rsidRPr="00000000" w14:paraId="0000003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Company withdraws from this Agreement under Section 1.5, the Company shall have the right to claim from the Investor a contractual penalty of [10]% of the amount of Loan that the Investor has agreed to grant under this Agreement.</w:t>
            </w:r>
          </w:p>
        </w:tc>
      </w:tr>
      <w:tr>
        <w:trPr>
          <w:cantSplit w:val="0"/>
          <w:tblHeader w:val="0"/>
        </w:trPr>
        <w:tc>
          <w:tcPr/>
          <w:p w:rsidR="00000000" w:rsidDel="00000000" w:rsidP="00000000" w:rsidRDefault="00000000" w:rsidRPr="00000000" w14:paraId="0000003C">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2.</w:t>
              <w:tab/>
              <w:t xml:space="preserve">KAMAT</w:t>
            </w:r>
          </w:p>
        </w:tc>
        <w:tc>
          <w:tcPr/>
          <w:p w:rsidR="00000000" w:rsidDel="00000000" w:rsidP="00000000" w:rsidRDefault="00000000" w:rsidRPr="00000000" w14:paraId="0000003D">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2.</w:t>
              <w:tab/>
              <w:t xml:space="preserve">INTEREST</w:t>
            </w:r>
          </w:p>
        </w:tc>
      </w:tr>
      <w:tr>
        <w:trPr>
          <w:cantSplit w:val="0"/>
          <w:tblHeader w:val="0"/>
        </w:trPr>
        <w:tc>
          <w:tcPr/>
          <w:p w:rsidR="00000000" w:rsidDel="00000000" w:rsidP="00000000" w:rsidRDefault="00000000" w:rsidRPr="00000000" w14:paraId="0000003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w:t>
              <w:tab/>
            </w:r>
            <w:r w:rsidDel="00000000" w:rsidR="00000000" w:rsidRPr="00000000">
              <w:rPr>
                <w:rFonts w:ascii="Times New Roman" w:cs="Times New Roman" w:eastAsia="Times New Roman" w:hAnsi="Times New Roman"/>
                <w:b w:val="1"/>
                <w:bCs w:val="1"/>
                <w:sz w:val="22"/>
                <w:szCs w:val="22"/>
                <w:rtl w:val="0"/>
              </w:rPr>
              <w:t xml:space="preserve">Kamat</w:t>
            </w:r>
            <w:r w:rsidDel="00000000" w:rsidR="00000000" w:rsidRPr="00000000">
              <w:rPr>
                <w:rtl w:val="0"/>
              </w:rPr>
            </w:r>
          </w:p>
        </w:tc>
        <w:tc>
          <w:tcPr/>
          <w:p w:rsidR="00000000" w:rsidDel="00000000" w:rsidP="00000000" w:rsidRDefault="00000000" w:rsidRPr="00000000" w14:paraId="0000003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w:t>
              <w:tab/>
            </w:r>
            <w:r w:rsidDel="00000000" w:rsidR="00000000" w:rsidRPr="00000000">
              <w:rPr>
                <w:rFonts w:ascii="Times New Roman" w:cs="Times New Roman" w:eastAsia="Times New Roman" w:hAnsi="Times New Roman"/>
                <w:b w:val="1"/>
                <w:bCs w:val="1"/>
                <w:sz w:val="22"/>
                <w:szCs w:val="22"/>
                <w:rtl w:val="0"/>
              </w:rPr>
              <w:t xml:space="preserve">Interest</w:t>
            </w:r>
            <w:r w:rsidDel="00000000" w:rsidR="00000000" w:rsidRPr="00000000">
              <w:rPr>
                <w:rtl w:val="0"/>
              </w:rPr>
            </w:r>
          </w:p>
        </w:tc>
      </w:tr>
      <w:tr>
        <w:trPr>
          <w:cantSplit w:val="0"/>
          <w:tblHeader w:val="0"/>
        </w:trPr>
        <w:tc>
          <w:tcPr/>
          <w:p w:rsidR="00000000" w:rsidDel="00000000" w:rsidP="00000000" w:rsidRDefault="00000000" w:rsidRPr="00000000" w14:paraId="0000004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Kölcsön mindenkori fennálló tőkeösszegére a Kamatláb alapján kamat (a továbbiakban: „</w:t>
            </w:r>
            <w:r w:rsidDel="00000000" w:rsidR="00000000" w:rsidRPr="00000000">
              <w:rPr>
                <w:rFonts w:ascii="Times New Roman" w:cs="Times New Roman" w:eastAsia="Times New Roman" w:hAnsi="Times New Roman"/>
                <w:b w:val="1"/>
                <w:bCs w:val="1"/>
                <w:sz w:val="22"/>
                <w:szCs w:val="22"/>
                <w:rtl w:val="0"/>
              </w:rPr>
              <w:t xml:space="preserve">Kamat</w:t>
            </w:r>
            <w:r w:rsidDel="00000000" w:rsidR="00000000" w:rsidRPr="00000000">
              <w:rPr>
                <w:rFonts w:ascii="Times New Roman" w:cs="Times New Roman" w:eastAsia="Times New Roman" w:hAnsi="Times New Roman"/>
                <w:sz w:val="22"/>
                <w:szCs w:val="22"/>
                <w:rtl w:val="0"/>
              </w:rPr>
              <w:t xml:space="preserve">”) kerül felszámításra. A Kamat napi rendszerességgel kerül felszámításra, és a ténylegesen eltelt napok alapján számítandó a Befektető által történő folyósítás napjától a visszafizetés vagy az konvertálás napjáig, 365 napos év figyelembevételével.</w:t>
            </w:r>
          </w:p>
        </w:tc>
        <w:tc>
          <w:tcPr/>
          <w:p w:rsidR="00000000" w:rsidDel="00000000" w:rsidP="00000000" w:rsidRDefault="00000000" w:rsidRPr="00000000" w14:paraId="0000004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Interest shall accrue on the outstanding principal amount of the Loan at the Interest Rate (“</w:t>
            </w:r>
            <w:r w:rsidDel="00000000" w:rsidR="00000000" w:rsidRPr="00000000">
              <w:rPr>
                <w:rFonts w:ascii="Times New Roman" w:cs="Times New Roman" w:eastAsia="Times New Roman" w:hAnsi="Times New Roman"/>
                <w:b w:val="1"/>
                <w:bCs w:val="1"/>
                <w:sz w:val="22"/>
                <w:szCs w:val="22"/>
                <w:rtl w:val="0"/>
              </w:rPr>
              <w:t xml:space="preserve">Interest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vertAlign w:val="superscript"/>
              </w:rPr>
              <w:footnoteReference w:customMarkFollows="0" w:id="12"/>
            </w:r>
            <w:r w:rsidDel="00000000" w:rsidR="00000000" w:rsidRPr="00000000">
              <w:rPr>
                <w:rFonts w:ascii="Times New Roman" w:cs="Times New Roman" w:eastAsia="Times New Roman" w:hAnsi="Times New Roman"/>
                <w:sz w:val="22"/>
                <w:szCs w:val="22"/>
                <w:rtl w:val="0"/>
              </w:rPr>
              <w:t xml:space="preserve">.  The Interest shall accrue daily and be calculated by reference to the actual number of days elapsed from the date of disbursement of the Loan by the Investor to the date of repayment or conversion on the basis of a 365-day year.</w:t>
            </w:r>
          </w:p>
        </w:tc>
      </w:tr>
      <w:tr>
        <w:trPr>
          <w:cantSplit w:val="0"/>
          <w:tblHeader w:val="0"/>
        </w:trPr>
        <w:tc>
          <w:tcPr/>
          <w:p w:rsidR="00000000" w:rsidDel="00000000" w:rsidP="00000000" w:rsidRDefault="00000000" w:rsidRPr="00000000" w14:paraId="0000004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2.2.</w:t>
              <w:tab/>
            </w:r>
            <w:r w:rsidDel="00000000" w:rsidR="00000000" w:rsidRPr="00000000">
              <w:rPr>
                <w:rFonts w:ascii="Times New Roman" w:cs="Times New Roman" w:eastAsia="Times New Roman" w:hAnsi="Times New Roman"/>
                <w:b w:val="1"/>
                <w:bCs w:val="1"/>
                <w:sz w:val="22"/>
                <w:szCs w:val="22"/>
                <w:rtl w:val="0"/>
              </w:rPr>
              <w:t xml:space="preserve">Kamat fizetése</w:t>
            </w:r>
            <w:r w:rsidDel="00000000" w:rsidR="00000000" w:rsidRPr="00000000">
              <w:rPr>
                <w:rtl w:val="0"/>
              </w:rPr>
            </w:r>
          </w:p>
        </w:tc>
        <w:tc>
          <w:tcPr/>
          <w:p w:rsidR="00000000" w:rsidDel="00000000" w:rsidP="00000000" w:rsidRDefault="00000000" w:rsidRPr="00000000" w14:paraId="0000004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2.2</w:t>
              <w:tab/>
            </w:r>
            <w:r w:rsidDel="00000000" w:rsidR="00000000" w:rsidRPr="00000000">
              <w:rPr>
                <w:rFonts w:ascii="Times New Roman" w:cs="Times New Roman" w:eastAsia="Times New Roman" w:hAnsi="Times New Roman"/>
                <w:b w:val="1"/>
                <w:bCs w:val="1"/>
                <w:sz w:val="22"/>
                <w:szCs w:val="22"/>
                <w:rtl w:val="0"/>
              </w:rPr>
              <w:t xml:space="preserve">Payment of Interest</w:t>
            </w:r>
            <w:r w:rsidDel="00000000" w:rsidR="00000000" w:rsidRPr="00000000">
              <w:rPr>
                <w:rtl w:val="0"/>
              </w:rPr>
            </w:r>
          </w:p>
        </w:tc>
      </w:tr>
      <w:tr>
        <w:trPr>
          <w:cantSplit w:val="0"/>
          <w:tblHeader w:val="0"/>
        </w:trPr>
        <w:tc>
          <w:tcPr/>
          <w:p w:rsidR="00000000" w:rsidDel="00000000" w:rsidP="00000000" w:rsidRDefault="00000000" w:rsidRPr="00000000" w14:paraId="0000004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Kamat a Kölcsön tőkeösszegének visszafizetésekor, vagy – konvertálás esetén – a kamattal növelt kölcsönösszeg a konvertálásakor válik esedékessé.</w:t>
            </w:r>
          </w:p>
        </w:tc>
        <w:tc>
          <w:tcPr/>
          <w:p w:rsidR="00000000" w:rsidDel="00000000" w:rsidP="00000000" w:rsidRDefault="00000000" w:rsidRPr="00000000" w14:paraId="0000004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Interest shall not be due until the conversion or repayment of the principal amount of the Loan     </w:t>
            </w:r>
          </w:p>
        </w:tc>
      </w:tr>
      <w:tr>
        <w:trPr>
          <w:cantSplit w:val="0"/>
          <w:tblHeader w:val="0"/>
        </w:trPr>
        <w:tc>
          <w:tcPr/>
          <w:p w:rsidR="00000000" w:rsidDel="00000000" w:rsidP="00000000" w:rsidRDefault="00000000" w:rsidRPr="00000000" w14:paraId="00000046">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3.</w:t>
              <w:tab/>
              <w:t xml:space="preserve">MINŐSÍTETT FINANSZÍROZÁSRA TÖRTÉNŐ KONVERTÁLÁS</w:t>
            </w:r>
          </w:p>
        </w:tc>
        <w:tc>
          <w:tcPr/>
          <w:p w:rsidR="00000000" w:rsidDel="00000000" w:rsidP="00000000" w:rsidRDefault="00000000" w:rsidRPr="00000000" w14:paraId="00000047">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3.</w:t>
              <w:tab/>
              <w:t xml:space="preserve">QUALIFIED FINANCING CONVERSION</w:t>
            </w:r>
          </w:p>
        </w:tc>
      </w:tr>
      <w:tr>
        <w:trPr>
          <w:cantSplit w:val="0"/>
          <w:tblHeader w:val="0"/>
        </w:trPr>
        <w:tc>
          <w:tcPr/>
          <w:p w:rsidR="00000000" w:rsidDel="00000000" w:rsidP="00000000" w:rsidRDefault="00000000" w:rsidRPr="00000000" w14:paraId="0000004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3.1.</w:t>
              <w:tab/>
            </w:r>
            <w:r w:rsidDel="00000000" w:rsidR="00000000" w:rsidRPr="00000000">
              <w:rPr>
                <w:rFonts w:ascii="Times New Roman" w:cs="Times New Roman" w:eastAsia="Times New Roman" w:hAnsi="Times New Roman"/>
                <w:b w:val="1"/>
                <w:bCs w:val="1"/>
                <w:sz w:val="22"/>
                <w:szCs w:val="22"/>
                <w:rtl w:val="0"/>
              </w:rPr>
              <w:t xml:space="preserve">A Minősített Finanszírozás fogalma</w:t>
            </w:r>
            <w:r w:rsidDel="00000000" w:rsidR="00000000" w:rsidRPr="00000000">
              <w:rPr>
                <w:rtl w:val="0"/>
              </w:rPr>
            </w:r>
          </w:p>
        </w:tc>
        <w:tc>
          <w:tcPr/>
          <w:p w:rsidR="00000000" w:rsidDel="00000000" w:rsidP="00000000" w:rsidRDefault="00000000" w:rsidRPr="00000000" w14:paraId="0000004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3.1</w:t>
              <w:tab/>
            </w:r>
            <w:r w:rsidDel="00000000" w:rsidR="00000000" w:rsidRPr="00000000">
              <w:rPr>
                <w:rFonts w:ascii="Times New Roman" w:cs="Times New Roman" w:eastAsia="Times New Roman" w:hAnsi="Times New Roman"/>
                <w:b w:val="1"/>
                <w:bCs w:val="1"/>
                <w:sz w:val="22"/>
                <w:szCs w:val="22"/>
                <w:rtl w:val="0"/>
              </w:rPr>
              <w:t xml:space="preserve">Definition of Qualified Financing</w:t>
            </w:r>
            <w:r w:rsidDel="00000000" w:rsidR="00000000" w:rsidRPr="00000000">
              <w:rPr>
                <w:rtl w:val="0"/>
              </w:rPr>
            </w:r>
          </w:p>
        </w:tc>
      </w:tr>
      <w:tr>
        <w:trPr>
          <w:cantSplit w:val="0"/>
          <w:tblHeader w:val="0"/>
        </w:trPr>
        <w:tc>
          <w:tcPr/>
          <w:p w:rsidR="00000000" w:rsidDel="00000000" w:rsidP="00000000" w:rsidRDefault="00000000" w:rsidRPr="00000000" w14:paraId="0000004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Amennyiben a Társaság a Szerződés aláírásának napját követően, elsődleges célként tőke bevonása érdekében, részesedést bocsát ki (vagy egymással összefüggő részesedés-kibocsátási sorozatot hajt végre), és ezekből a Társaság összesített finanszírozási összege eléri vagy meghaladja a Minősített Finanszírozási Küszöbértéket (az ezen kibocsátás során részesedéssé konvertálható kölcsönök és hasonló eszközök összegén felül); vagy b) a Társaság a Szerződés Aláírásának Napját követően, elsődleges célként finanszírozás bevonása érdekében, részesedést bocsát ki (vagy egymással összefüggő részesedés-kibocsátási sorozatot hajt végre), amelyekből a Társaság összesített finanszírozási összege nem éri el a Minősített Finanszírozási Küszöbértéket, de a Befektetői Többség mérlegelési jogkörében eljárva úgy határoz, hogy azt Minősített Finanszírozásnak tekinti, és erről a Társaság részére megfelelő értesítést küld.</w:t>
            </w:r>
          </w:p>
        </w:tc>
        <w:tc>
          <w:tcPr/>
          <w:p w:rsidR="00000000" w:rsidDel="00000000" w:rsidP="00000000" w:rsidRDefault="00000000" w:rsidRPr="00000000" w14:paraId="0000004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rtl w:val="0"/>
              </w:rPr>
              <w:t xml:space="preserve">Qualified Financing</w:t>
            </w:r>
            <w:r w:rsidDel="00000000" w:rsidR="00000000" w:rsidRPr="00000000">
              <w:rPr>
                <w:rFonts w:ascii="Times New Roman" w:cs="Times New Roman" w:eastAsia="Times New Roman" w:hAnsi="Times New Roman"/>
                <w:sz w:val="22"/>
                <w:szCs w:val="22"/>
                <w:rtl w:val="0"/>
              </w:rPr>
              <w:t xml:space="preserve">” means (a) the issuance (or series of related issuances) of Shares</w:t>
            </w:r>
            <w:r w:rsidDel="00000000" w:rsidR="00000000" w:rsidRPr="00000000">
              <w:rPr>
                <w:rFonts w:ascii="Times New Roman" w:cs="Times New Roman" w:eastAsia="Times New Roman" w:hAnsi="Times New Roman"/>
                <w:sz w:val="22"/>
                <w:szCs w:val="22"/>
                <w:vertAlign w:val="superscript"/>
              </w:rPr>
              <w:footnoteReference w:customMarkFollows="0" w:id="13"/>
            </w:r>
            <w:r w:rsidDel="00000000" w:rsidR="00000000" w:rsidRPr="00000000">
              <w:rPr>
                <w:rFonts w:ascii="Times New Roman" w:cs="Times New Roman" w:eastAsia="Times New Roman" w:hAnsi="Times New Roman"/>
                <w:sz w:val="22"/>
                <w:szCs w:val="22"/>
                <w:rtl w:val="0"/>
              </w:rPr>
              <w:t xml:space="preserve">  by the Company following the Signing Date with the principal purpose of raising financing with the aggregate gross proceeds for the Company of not less than the Qualified Financing Threshold (excluding the amount of convertible loans and similar instruments converted into Shares upon such issuance) or (b) any issuance (or a series of related issuances) of Shares by the Company following the Signing Date with the principal purpose of raising financing with the aggregate gross proceeds less than the Qualified Financing Threshold, which the Investor Majority has elected (at its sole discretion) to treat as Qualified Financing by sending a respective notice to the Company.</w:t>
            </w:r>
          </w:p>
        </w:tc>
      </w:tr>
      <w:tr>
        <w:trPr>
          <w:cantSplit w:val="0"/>
          <w:tblHeader w:val="0"/>
        </w:trPr>
        <w:tc>
          <w:tcPr/>
          <w:p w:rsidR="00000000" w:rsidDel="00000000" w:rsidP="00000000" w:rsidRDefault="00000000" w:rsidRPr="00000000" w14:paraId="0000004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3.2.</w:t>
              <w:tab/>
            </w:r>
            <w:r w:rsidDel="00000000" w:rsidR="00000000" w:rsidRPr="00000000">
              <w:rPr>
                <w:rFonts w:ascii="Times New Roman" w:cs="Times New Roman" w:eastAsia="Times New Roman" w:hAnsi="Times New Roman"/>
                <w:b w:val="1"/>
                <w:bCs w:val="1"/>
                <w:sz w:val="22"/>
                <w:szCs w:val="22"/>
                <w:rtl w:val="0"/>
              </w:rPr>
              <w:t xml:space="preserve">Finanszírozási értesítés</w:t>
            </w:r>
            <w:r w:rsidDel="00000000" w:rsidR="00000000" w:rsidRPr="00000000">
              <w:rPr>
                <w:rtl w:val="0"/>
              </w:rPr>
            </w:r>
          </w:p>
        </w:tc>
        <w:tc>
          <w:tcPr/>
          <w:p w:rsidR="00000000" w:rsidDel="00000000" w:rsidP="00000000" w:rsidRDefault="00000000" w:rsidRPr="00000000" w14:paraId="0000004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3.2</w:t>
              <w:tab/>
            </w:r>
            <w:r w:rsidDel="00000000" w:rsidR="00000000" w:rsidRPr="00000000">
              <w:rPr>
                <w:rFonts w:ascii="Times New Roman" w:cs="Times New Roman" w:eastAsia="Times New Roman" w:hAnsi="Times New Roman"/>
                <w:b w:val="1"/>
                <w:bCs w:val="1"/>
                <w:sz w:val="22"/>
                <w:szCs w:val="22"/>
                <w:rtl w:val="0"/>
              </w:rPr>
              <w:t xml:space="preserve">Notice of financing</w:t>
            </w:r>
            <w:r w:rsidDel="00000000" w:rsidR="00000000" w:rsidRPr="00000000">
              <w:rPr>
                <w:rtl w:val="0"/>
              </w:rPr>
            </w:r>
          </w:p>
        </w:tc>
      </w:tr>
      <w:tr>
        <w:trPr>
          <w:cantSplit w:val="0"/>
          <w:tblHeader w:val="0"/>
        </w:trPr>
        <w:tc>
          <w:tcPr/>
          <w:p w:rsidR="00000000" w:rsidDel="00000000" w:rsidP="00000000" w:rsidRDefault="00000000" w:rsidRPr="00000000" w14:paraId="0000004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Társaság köteles értesíteni a Befektetőt a részesedések – elsődleges célként tőke bevonása érdekében történő – tervezett kibocsátásáról, valamint annak áráról és feltételeiről, legalább 5 (öt) munkanappal a kibocsátás zárása előtt.</w:t>
            </w:r>
          </w:p>
        </w:tc>
        <w:tc>
          <w:tcPr/>
          <w:p w:rsidR="00000000" w:rsidDel="00000000" w:rsidP="00000000" w:rsidRDefault="00000000" w:rsidRPr="00000000" w14:paraId="0000004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Company shall notify the Investor of a proposed issuance of Shares with the principal purpose of raising financing, and the price and terms thereof, at least 5 Business Days before the closing of the same.</w:t>
            </w:r>
          </w:p>
        </w:tc>
      </w:tr>
      <w:tr>
        <w:trPr>
          <w:cantSplit w:val="0"/>
          <w:tblHeader w:val="0"/>
        </w:trPr>
        <w:tc>
          <w:tcPr/>
          <w:p w:rsidR="00000000" w:rsidDel="00000000" w:rsidP="00000000" w:rsidRDefault="00000000" w:rsidRPr="00000000" w14:paraId="0000005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3.3</w:t>
            </w:r>
            <w:r w:rsidDel="00000000" w:rsidR="00000000" w:rsidRPr="00000000">
              <w:rPr>
                <w:rFonts w:ascii="Times New Roman" w:cs="Times New Roman" w:eastAsia="Times New Roman" w:hAnsi="Times New Roman"/>
                <w:b w:val="1"/>
                <w:bCs w:val="1"/>
                <w:sz w:val="22"/>
                <w:szCs w:val="22"/>
                <w:rtl w:val="0"/>
              </w:rPr>
              <w:tab/>
              <w:t xml:space="preserve">Konvertálás Minősített Finanszírozás esetén</w:t>
            </w:r>
            <w:r w:rsidDel="00000000" w:rsidR="00000000" w:rsidRPr="00000000">
              <w:rPr>
                <w:rtl w:val="0"/>
              </w:rPr>
            </w:r>
          </w:p>
        </w:tc>
        <w:tc>
          <w:tcPr/>
          <w:p w:rsidR="00000000" w:rsidDel="00000000" w:rsidP="00000000" w:rsidRDefault="00000000" w:rsidRPr="00000000" w14:paraId="0000005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3.3</w:t>
            </w:r>
            <w:r w:rsidDel="00000000" w:rsidR="00000000" w:rsidRPr="00000000">
              <w:rPr>
                <w:rFonts w:ascii="Times New Roman" w:cs="Times New Roman" w:eastAsia="Times New Roman" w:hAnsi="Times New Roman"/>
                <w:b w:val="1"/>
                <w:bCs w:val="1"/>
                <w:sz w:val="22"/>
                <w:szCs w:val="22"/>
                <w:rtl w:val="0"/>
              </w:rPr>
              <w:tab/>
              <w:t xml:space="preserve">Qualified Financing Conversion</w:t>
            </w:r>
            <w:r w:rsidDel="00000000" w:rsidR="00000000" w:rsidRPr="00000000">
              <w:rPr>
                <w:rtl w:val="0"/>
              </w:rPr>
            </w:r>
          </w:p>
        </w:tc>
      </w:tr>
      <w:tr>
        <w:trPr>
          <w:cantSplit w:val="0"/>
          <w:tblHeader w:val="0"/>
        </w:trPr>
        <w:tc>
          <w:tcPr/>
          <w:p w:rsidR="00000000" w:rsidDel="00000000" w:rsidP="00000000" w:rsidRDefault="00000000" w:rsidRPr="00000000" w14:paraId="0000005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Minősített Finanszírozás zárását követően a Kölcsön fennálló tőkeösszeg és a felhalmozott, ki nem fizetett kamatok együttes összege (a továbbiakban: „</w:t>
            </w:r>
            <w:r w:rsidDel="00000000" w:rsidR="00000000" w:rsidRPr="00000000">
              <w:rPr>
                <w:rFonts w:ascii="Times New Roman" w:cs="Times New Roman" w:eastAsia="Times New Roman" w:hAnsi="Times New Roman"/>
                <w:b w:val="1"/>
                <w:bCs w:val="1"/>
                <w:sz w:val="22"/>
                <w:szCs w:val="22"/>
                <w:rtl w:val="0"/>
              </w:rPr>
              <w:t xml:space="preserve">Fennálló Tartozás</w:t>
            </w:r>
            <w:r w:rsidDel="00000000" w:rsidR="00000000" w:rsidRPr="00000000">
              <w:rPr>
                <w:rFonts w:ascii="Times New Roman" w:cs="Times New Roman" w:eastAsia="Times New Roman" w:hAnsi="Times New Roman"/>
                <w:sz w:val="22"/>
                <w:szCs w:val="22"/>
                <w:rtl w:val="0"/>
              </w:rPr>
              <w:t xml:space="preserve">”) automatikusan konvertálódik az adott Minősített Finanszírozásban kibocsátott, legkedvezőbb jogokat biztosító részesedésre (vagy olyan részesedésre, amelyekhez azonos jogok és előnyök és kötelezettségek kapcsolódnak). A Felek a kibocsátott részesedések értékét úgy határozzák meg, hogy a Fennálló Tartozás összegét elosztják a következők közül az alacsonyabb konvertálási árral:</w:t>
            </w:r>
          </w:p>
        </w:tc>
        <w:tc>
          <w:tcPr/>
          <w:p w:rsidR="00000000" w:rsidDel="00000000" w:rsidP="00000000" w:rsidRDefault="00000000" w:rsidRPr="00000000" w14:paraId="0000005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Upon the closing of a Qualified Financing, the outstanding principal amount of the Loan plus accrued and outstanding Interest (the “</w:t>
            </w:r>
            <w:r w:rsidDel="00000000" w:rsidR="00000000" w:rsidRPr="00000000">
              <w:rPr>
                <w:rFonts w:ascii="Times New Roman" w:cs="Times New Roman" w:eastAsia="Times New Roman" w:hAnsi="Times New Roman"/>
                <w:b w:val="1"/>
                <w:bCs w:val="1"/>
                <w:sz w:val="22"/>
                <w:szCs w:val="22"/>
                <w:rtl w:val="0"/>
              </w:rPr>
              <w:t xml:space="preserve">Outstanding Debt</w:t>
            </w:r>
            <w:r w:rsidDel="00000000" w:rsidR="00000000" w:rsidRPr="00000000">
              <w:rPr>
                <w:rFonts w:ascii="Times New Roman" w:cs="Times New Roman" w:eastAsia="Times New Roman" w:hAnsi="Times New Roman"/>
                <w:sz w:val="22"/>
                <w:szCs w:val="22"/>
                <w:rtl w:val="0"/>
              </w:rPr>
              <w:t xml:space="preserve">”) owed to the Investor shall be converted in full into such number of Shares of most senior class issued in the Qualified Financing (or any Shares with identical rights and preferences and with the same obligations as such Shares) that is calculated by dividing the Outstanding Debt with the conversion price equal to the lesser of</w:t>
            </w:r>
          </w:p>
        </w:tc>
      </w:tr>
      <w:tr>
        <w:trPr>
          <w:cantSplit w:val="0"/>
          <w:tblHeader w:val="0"/>
        </w:trPr>
        <w:tc>
          <w:tcPr/>
          <w:p w:rsidR="00000000" w:rsidDel="00000000" w:rsidP="00000000" w:rsidRDefault="00000000" w:rsidRPr="00000000" w14:paraId="0000005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3.3.1.</w:t>
              <w:tab/>
              <w:t xml:space="preserve">(100% – Diszkont) szorozva a Minősített Finanszírozás során kibocsátott részesedések legalacsonyabb részesedésenkénti kibocsátási értékével (árával); vagy</w:t>
            </w:r>
          </w:p>
        </w:tc>
        <w:tc>
          <w:tcPr/>
          <w:p w:rsidR="00000000" w:rsidDel="00000000" w:rsidP="00000000" w:rsidRDefault="00000000" w:rsidRPr="00000000" w14:paraId="0000005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3.3.1</w:t>
              <w:tab/>
              <w:t xml:space="preserve">(100%-Discount) multiplied by the lowest price paid per Share issued in the Qualified Financing; or</w:t>
            </w:r>
          </w:p>
        </w:tc>
      </w:tr>
      <w:tr>
        <w:trPr>
          <w:cantSplit w:val="0"/>
          <w:tblHeader w:val="0"/>
        </w:trPr>
        <w:tc>
          <w:tcPr/>
          <w:p w:rsidR="00000000" w:rsidDel="00000000" w:rsidP="00000000" w:rsidRDefault="00000000" w:rsidRPr="00000000" w14:paraId="0000005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3.3.2.</w:t>
              <w:tab/>
              <w:t xml:space="preserve">Értékelési plafon összege osztva a teljesen higított jegyzett tőkét megtestesítő részesedésszámmal, a Minősített Finanszírozás zárását közvetlenül megelőzően.</w:t>
            </w:r>
          </w:p>
        </w:tc>
        <w:tc>
          <w:tcPr/>
          <w:p w:rsidR="00000000" w:rsidDel="00000000" w:rsidP="00000000" w:rsidRDefault="00000000" w:rsidRPr="00000000" w14:paraId="0000005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3.3.2</w:t>
              <w:tab/>
              <w:t xml:space="preserve">Valuation Cap divided by the Fully Diluted Share Capital</w:t>
            </w:r>
            <w:r w:rsidDel="00000000" w:rsidR="00000000" w:rsidRPr="00000000">
              <w:rPr>
                <w:rFonts w:ascii="Times New Roman" w:cs="Times New Roman" w:eastAsia="Times New Roman" w:hAnsi="Times New Roman"/>
                <w:sz w:val="22"/>
                <w:szCs w:val="22"/>
                <w:vertAlign w:val="superscript"/>
              </w:rPr>
              <w:footnoteReference w:customMarkFollows="0" w:id="14"/>
            </w:r>
            <w:r w:rsidDel="00000000" w:rsidR="00000000" w:rsidRPr="00000000">
              <w:rPr>
                <w:rFonts w:ascii="Times New Roman" w:cs="Times New Roman" w:eastAsia="Times New Roman" w:hAnsi="Times New Roman"/>
                <w:sz w:val="22"/>
                <w:szCs w:val="22"/>
                <w:rtl w:val="0"/>
              </w:rPr>
              <w:t xml:space="preserve"> immediately prior to the closing of the Qualified Financing.</w:t>
            </w:r>
          </w:p>
        </w:tc>
      </w:tr>
      <w:tr>
        <w:trPr>
          <w:cantSplit w:val="0"/>
          <w:tblHeader w:val="0"/>
        </w:trPr>
        <w:tc>
          <w:tcPr/>
          <w:p w:rsidR="00000000" w:rsidDel="00000000" w:rsidP="00000000" w:rsidRDefault="00000000" w:rsidRPr="00000000" w14:paraId="0000005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 fentiek alapján meghatározott konvertálási ár alacsonyabb, mint a Minősített Finanszírozás során a Befektetők által fizetett egy részesedésre jutó ár, a Társaság jogosult a Fennálló Tartozást olyan új részesedés-sorozatra konvertálni, amelyhez azonos jogok, előnyök és kötelezettségek kapcsolódnak, mint a Minősített Finanszírozás keretében kibocsátott legkedvezőbb jogokat biztosító részesedésekhez kapcsolódó jogok, azzal az eltéréssel, hogy (amennyiben alkalmazandó) (a) az egy részesedésre jutó likvidációs elsőbbségi összeg, valamint (b) az ár alapú hígítás elleni védelem kiinduló ára, mindkét esetben megegyezik  a konvertálási árral.</w:t>
            </w:r>
          </w:p>
        </w:tc>
        <w:tc>
          <w:tcPr/>
          <w:p w:rsidR="00000000" w:rsidDel="00000000" w:rsidP="00000000" w:rsidRDefault="00000000" w:rsidRPr="00000000" w14:paraId="0000005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However, if the conversion price calculated in accordance with the above provision is less than the price per Share paid in the Qualified Financing, the Company may convert the Outstanding Debt into the shares of the newly created series with identical rights and preferences and with the same obligations as the Shares of the most senior class issued in the Qualified Financing other than with respect to (if applicable) (a) the liquidation preference (preference amount) per share and (b) the starting price for the price-based anti-dilution protection, which both shall equal the conversion price.</w:t>
            </w:r>
          </w:p>
        </w:tc>
      </w:tr>
      <w:tr>
        <w:trPr>
          <w:cantSplit w:val="0"/>
          <w:tblHeader w:val="0"/>
        </w:trPr>
        <w:tc>
          <w:tcPr/>
          <w:p w:rsidR="00000000" w:rsidDel="00000000" w:rsidP="00000000" w:rsidRDefault="00000000" w:rsidRPr="00000000" w14:paraId="0000005A">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4.</w:t>
              <w:tab/>
              <w:t xml:space="preserve">LIKVIDITÁSI ESEMÉNY MIATTI KONVERTÁLÁS VAGY KIFIZETÉS</w:t>
            </w:r>
          </w:p>
        </w:tc>
        <w:tc>
          <w:tcPr/>
          <w:p w:rsidR="00000000" w:rsidDel="00000000" w:rsidP="00000000" w:rsidRDefault="00000000" w:rsidRPr="00000000" w14:paraId="0000005B">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4.</w:t>
              <w:tab/>
              <w:t xml:space="preserve">LIQUIDITY EVENT CONVERSION OR PAYMENT</w:t>
            </w:r>
          </w:p>
        </w:tc>
      </w:tr>
      <w:tr>
        <w:trPr>
          <w:cantSplit w:val="0"/>
          <w:tblHeader w:val="0"/>
        </w:trPr>
        <w:tc>
          <w:tcPr/>
          <w:p w:rsidR="00000000" w:rsidDel="00000000" w:rsidP="00000000" w:rsidRDefault="00000000" w:rsidRPr="00000000" w14:paraId="0000005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w:t>
              <w:tab/>
            </w:r>
            <w:r w:rsidDel="00000000" w:rsidR="00000000" w:rsidRPr="00000000">
              <w:rPr>
                <w:rFonts w:ascii="Times New Roman" w:cs="Times New Roman" w:eastAsia="Times New Roman" w:hAnsi="Times New Roman"/>
                <w:b w:val="1"/>
                <w:bCs w:val="1"/>
                <w:sz w:val="22"/>
                <w:szCs w:val="22"/>
                <w:rtl w:val="0"/>
              </w:rPr>
              <w:t xml:space="preserve">Likviditási Esemény meghatározása</w:t>
            </w:r>
            <w:r w:rsidDel="00000000" w:rsidR="00000000" w:rsidRPr="00000000">
              <w:rPr>
                <w:rtl w:val="0"/>
              </w:rPr>
            </w:r>
          </w:p>
        </w:tc>
        <w:tc>
          <w:tcPr/>
          <w:p w:rsidR="00000000" w:rsidDel="00000000" w:rsidP="00000000" w:rsidRDefault="00000000" w:rsidRPr="00000000" w14:paraId="0000005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w:t>
              <w:tab/>
            </w:r>
            <w:r w:rsidDel="00000000" w:rsidR="00000000" w:rsidRPr="00000000">
              <w:rPr>
                <w:rFonts w:ascii="Times New Roman" w:cs="Times New Roman" w:eastAsia="Times New Roman" w:hAnsi="Times New Roman"/>
                <w:b w:val="1"/>
                <w:bCs w:val="1"/>
                <w:sz w:val="22"/>
                <w:szCs w:val="22"/>
                <w:rtl w:val="0"/>
              </w:rPr>
              <w:t xml:space="preserve">Definition of Liquidity Event</w:t>
            </w:r>
            <w:r w:rsidDel="00000000" w:rsidR="00000000" w:rsidRPr="00000000">
              <w:rPr>
                <w:rtl w:val="0"/>
              </w:rPr>
            </w:r>
          </w:p>
        </w:tc>
      </w:tr>
      <w:tr>
        <w:trPr>
          <w:cantSplit w:val="0"/>
          <w:tblHeader w:val="0"/>
        </w:trPr>
        <w:tc>
          <w:tcPr/>
          <w:p w:rsidR="00000000" w:rsidDel="00000000" w:rsidP="00000000" w:rsidRDefault="00000000" w:rsidRPr="00000000" w14:paraId="0000005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4.1.1.</w:t>
              <w:tab/>
              <w:t xml:space="preserve">a Társaság végelszámolásáról szóló határozat meghozatala;</w:t>
            </w:r>
          </w:p>
        </w:tc>
        <w:tc>
          <w:tcPr/>
          <w:p w:rsidR="00000000" w:rsidDel="00000000" w:rsidP="00000000" w:rsidRDefault="00000000" w:rsidRPr="00000000" w14:paraId="0000005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4.1.1</w:t>
              <w:tab/>
              <w:t xml:space="preserve">the adoption of a resolution for the voluntary dissolution of the Company;</w:t>
            </w:r>
          </w:p>
        </w:tc>
      </w:tr>
      <w:tr>
        <w:trPr>
          <w:cantSplit w:val="0"/>
          <w:tblHeader w:val="0"/>
        </w:trPr>
        <w:tc>
          <w:tcPr/>
          <w:p w:rsidR="00000000" w:rsidDel="00000000" w:rsidP="00000000" w:rsidRDefault="00000000" w:rsidRPr="00000000" w14:paraId="0000006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4.1.2.</w:t>
              <w:tab/>
              <w:t xml:space="preserve">a Társaság teljes, vagy lényegében teljes vagyonának átruházásának zárása, vagy a Társaság valamennyi, vagy lényegében valamennyi szellemi tulajdonára vonatkozó kizárólagos licenc biztosítása más javára;</w:t>
            </w:r>
          </w:p>
        </w:tc>
        <w:tc>
          <w:tcPr/>
          <w:p w:rsidR="00000000" w:rsidDel="00000000" w:rsidP="00000000" w:rsidRDefault="00000000" w:rsidRPr="00000000" w14:paraId="0000006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4.1.2</w:t>
              <w:tab/>
              <w:t xml:space="preserve">the closing of the transfer of all or substantially all the Company’s assets or the granting of an exclusive license over all or substantially all the Intellectual Property of the Company;</w:t>
            </w:r>
          </w:p>
        </w:tc>
      </w:tr>
      <w:tr>
        <w:trPr>
          <w:cantSplit w:val="0"/>
          <w:tblHeader w:val="0"/>
        </w:trPr>
        <w:tc>
          <w:tcPr/>
          <w:p w:rsidR="00000000" w:rsidDel="00000000" w:rsidP="00000000" w:rsidRDefault="00000000" w:rsidRPr="00000000" w14:paraId="0000006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4.1.3.</w:t>
              <w:tab/>
              <w:t xml:space="preserve">olyan részesedés-átruházás zárása, amelynek eredményeként az részesedések megszerzője – valamint az irányítása alá tartozó, őt irányító, vagy vele közös irányítás alatt álló személyek – a Társaság feletti irányítást megszerzik, függetlenül attól, hogy az ügylet adásvétel, apportálás, ajándékozás vagy más jogcím alapján valósul meg, továbbá, függetlenül attól, hogy az irányítás megszerzése egy ügylet keretében, vagy egymással összefüggő ügyletek sorozataként történik, kivéve, ha az ügylet kizárólagos célja (a) olyan holdingtársaság létrehozása, amelyben a Társaságban a tranzakciót megelőzően részesedéssel rendelkező személyek lényegében azonos arányban rendelkeznek tulajdonnal, vagy (b) a Társaság számára finanszírozás biztosítása egy valós finanszírozási tranzakció keretében, amelyet a Társaság illetékes döntéshozó szerve jóváhagyott.</w:t>
            </w:r>
          </w:p>
        </w:tc>
        <w:tc>
          <w:tcPr/>
          <w:p w:rsidR="00000000" w:rsidDel="00000000" w:rsidP="00000000" w:rsidRDefault="00000000" w:rsidRPr="00000000" w14:paraId="0000006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4.1.3</w:t>
              <w:tab/>
              <w:t xml:space="preserve">the closing of the transfer of any Shares which will result in the acquirer of those Shares, and persons Controlled, Controlling or under common Control with such acquirer, acquiring Control over the Company, irrespective of whether any of the above-described transactions is effected by sale, in-kind contribution, donation or otherwise and irrespective of whether it is effected in one transaction or a series of related transactions, unless the sole purpose of any such transaction is to (a) create a holding company that will be owned in substantially the same proportions by the persons who held the Company’s securities immediately before such transaction or (b) obtain financing for the Company in a bona fide financing transaction that is approved by the relevant governing body of the Company.</w:t>
            </w:r>
          </w:p>
        </w:tc>
      </w:tr>
      <w:tr>
        <w:trPr>
          <w:cantSplit w:val="0"/>
          <w:tblHeader w:val="0"/>
        </w:trPr>
        <w:tc>
          <w:tcPr/>
          <w:p w:rsidR="00000000" w:rsidDel="00000000" w:rsidP="00000000" w:rsidRDefault="00000000" w:rsidRPr="00000000" w14:paraId="0000006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4.1.4.</w:t>
              <w:tab/>
              <w:t xml:space="preserve">A Társaság tulajdonosi részesedéseinek nyilvános tőkepiaci bevezetése, ideértve az elsődleges részvénykibocsátást (Initial Public Offering – IPO).</w:t>
            </w:r>
          </w:p>
        </w:tc>
        <w:tc>
          <w:tcPr/>
          <w:p w:rsidR="00000000" w:rsidDel="00000000" w:rsidP="00000000" w:rsidRDefault="00000000" w:rsidRPr="00000000" w14:paraId="0000006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4.1.4</w:t>
            </w:r>
            <w:r w:rsidDel="00000000" w:rsidR="00000000" w:rsidRPr="00000000">
              <w:rPr>
                <w:rFonts w:ascii="Times New Roman" w:cs="Times New Roman" w:eastAsia="Times New Roman" w:hAnsi="Times New Roman"/>
                <w:b w:val="1"/>
                <w:bCs w:val="1"/>
                <w:sz w:val="22"/>
                <w:szCs w:val="22"/>
                <w:rtl w:val="0"/>
              </w:rPr>
              <w:tab/>
            </w:r>
            <w:r w:rsidDel="00000000" w:rsidR="00000000" w:rsidRPr="00000000">
              <w:rPr>
                <w:rFonts w:ascii="Times New Roman" w:cs="Times New Roman" w:eastAsia="Times New Roman" w:hAnsi="Times New Roman"/>
                <w:sz w:val="22"/>
                <w:szCs w:val="22"/>
                <w:rtl w:val="0"/>
              </w:rPr>
              <w:t xml:space="preserve">initial public offering of the shareholdings of the Company (IPO).</w:t>
            </w:r>
          </w:p>
        </w:tc>
      </w:tr>
      <w:tr>
        <w:trPr>
          <w:cantSplit w:val="0"/>
          <w:tblHeader w:val="0"/>
        </w:trPr>
        <w:tc>
          <w:tcPr/>
          <w:p w:rsidR="00000000" w:rsidDel="00000000" w:rsidP="00000000" w:rsidRDefault="00000000" w:rsidRPr="00000000" w14:paraId="0000006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w:t>
              <w:tab/>
            </w:r>
            <w:r w:rsidDel="00000000" w:rsidR="00000000" w:rsidRPr="00000000">
              <w:rPr>
                <w:rFonts w:ascii="Times New Roman" w:cs="Times New Roman" w:eastAsia="Times New Roman" w:hAnsi="Times New Roman"/>
                <w:b w:val="1"/>
                <w:bCs w:val="1"/>
                <w:sz w:val="22"/>
                <w:szCs w:val="22"/>
                <w:rtl w:val="0"/>
              </w:rPr>
              <w:t xml:space="preserve">Likviditási Eseményről szóló értesítés</w:t>
            </w:r>
            <w:r w:rsidDel="00000000" w:rsidR="00000000" w:rsidRPr="00000000">
              <w:rPr>
                <w:rtl w:val="0"/>
              </w:rPr>
            </w:r>
          </w:p>
        </w:tc>
        <w:tc>
          <w:tcPr/>
          <w:p w:rsidR="00000000" w:rsidDel="00000000" w:rsidP="00000000" w:rsidRDefault="00000000" w:rsidRPr="00000000" w14:paraId="0000006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w:t>
              <w:tab/>
            </w:r>
            <w:r w:rsidDel="00000000" w:rsidR="00000000" w:rsidRPr="00000000">
              <w:rPr>
                <w:rFonts w:ascii="Times New Roman" w:cs="Times New Roman" w:eastAsia="Times New Roman" w:hAnsi="Times New Roman"/>
                <w:b w:val="1"/>
                <w:bCs w:val="1"/>
                <w:sz w:val="22"/>
                <w:szCs w:val="22"/>
                <w:rtl w:val="0"/>
              </w:rPr>
              <w:t xml:space="preserve">Notice of Liquidity Event</w:t>
            </w:r>
            <w:r w:rsidDel="00000000" w:rsidR="00000000" w:rsidRPr="00000000">
              <w:rPr>
                <w:rtl w:val="0"/>
              </w:rPr>
            </w:r>
          </w:p>
        </w:tc>
      </w:tr>
      <w:tr>
        <w:trPr>
          <w:cantSplit w:val="0"/>
          <w:tblHeader w:val="0"/>
        </w:trPr>
        <w:tc>
          <w:tcPr/>
          <w:p w:rsidR="00000000" w:rsidDel="00000000" w:rsidP="00000000" w:rsidRDefault="00000000" w:rsidRPr="00000000" w14:paraId="0000006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Társaság köteles értesíteni a Befektetőt a tervezett Likviditási Eseményről, valamint annak értékéről és feltételeiről, legalább 5 (öt) Munkanappal a zárás előtt.</w:t>
            </w:r>
          </w:p>
        </w:tc>
        <w:tc>
          <w:tcPr/>
          <w:p w:rsidR="00000000" w:rsidDel="00000000" w:rsidP="00000000" w:rsidRDefault="00000000" w:rsidRPr="00000000" w14:paraId="0000006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Company shall notify the Investor of a proposed Liquidity Event, and the price and terms thereof, at least 5 Business Days before the closing of the same.</w:t>
            </w:r>
          </w:p>
        </w:tc>
      </w:tr>
      <w:tr>
        <w:trPr>
          <w:cantSplit w:val="0"/>
          <w:tblHeader w:val="0"/>
        </w:trPr>
        <w:tc>
          <w:tcPr/>
          <w:p w:rsidR="00000000" w:rsidDel="00000000" w:rsidP="00000000" w:rsidRDefault="00000000" w:rsidRPr="00000000" w14:paraId="0000006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w:t>
              <w:tab/>
            </w:r>
            <w:r w:rsidDel="00000000" w:rsidR="00000000" w:rsidRPr="00000000">
              <w:rPr>
                <w:rFonts w:ascii="Times New Roman" w:cs="Times New Roman" w:eastAsia="Times New Roman" w:hAnsi="Times New Roman"/>
                <w:b w:val="1"/>
                <w:bCs w:val="1"/>
                <w:sz w:val="22"/>
                <w:szCs w:val="22"/>
                <w:rtl w:val="0"/>
              </w:rPr>
              <w:t xml:space="preserve">Likviditási Esemény miatti konvertálás vagy kifizetés</w:t>
            </w:r>
            <w:r w:rsidDel="00000000" w:rsidR="00000000" w:rsidRPr="00000000">
              <w:rPr>
                <w:rtl w:val="0"/>
              </w:rPr>
            </w:r>
          </w:p>
        </w:tc>
        <w:tc>
          <w:tcPr/>
          <w:p w:rsidR="00000000" w:rsidDel="00000000" w:rsidP="00000000" w:rsidRDefault="00000000" w:rsidRPr="00000000" w14:paraId="0000006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w:t>
              <w:tab/>
            </w:r>
            <w:r w:rsidDel="00000000" w:rsidR="00000000" w:rsidRPr="00000000">
              <w:rPr>
                <w:rFonts w:ascii="Times New Roman" w:cs="Times New Roman" w:eastAsia="Times New Roman" w:hAnsi="Times New Roman"/>
                <w:b w:val="1"/>
                <w:bCs w:val="1"/>
                <w:sz w:val="22"/>
                <w:szCs w:val="22"/>
                <w:rtl w:val="0"/>
              </w:rPr>
              <w:t xml:space="preserve">Liquidity Event conversion or payment</w:t>
            </w:r>
            <w:r w:rsidDel="00000000" w:rsidR="00000000" w:rsidRPr="00000000">
              <w:rPr>
                <w:rtl w:val="0"/>
              </w:rPr>
            </w:r>
          </w:p>
        </w:tc>
      </w:tr>
      <w:tr>
        <w:trPr>
          <w:cantSplit w:val="0"/>
          <w:tblHeader w:val="0"/>
        </w:trPr>
        <w:tc>
          <w:tcPr/>
          <w:p w:rsidR="00000000" w:rsidDel="00000000" w:rsidP="00000000" w:rsidRDefault="00000000" w:rsidRPr="00000000" w14:paraId="0000006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Ha a Likviditási Esemény a Minősített Finanszírozás, illetve a Lejárat előtt következik be, a Befektető választása szerint a következők alkalmazandók:</w:t>
            </w:r>
          </w:p>
        </w:tc>
        <w:tc>
          <w:tcPr/>
          <w:p w:rsidR="00000000" w:rsidDel="00000000" w:rsidP="00000000" w:rsidRDefault="00000000" w:rsidRPr="00000000" w14:paraId="0000006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a Liquidity Event occurs before the Qualified Financing and the Maturity Date, then, at the election of the Investor:</w:t>
            </w:r>
          </w:p>
        </w:tc>
      </w:tr>
      <w:tr>
        <w:trPr>
          <w:cantSplit w:val="0"/>
          <w:tblHeader w:val="0"/>
        </w:trPr>
        <w:tc>
          <w:tcPr/>
          <w:p w:rsidR="00000000" w:rsidDel="00000000" w:rsidP="00000000" w:rsidRDefault="00000000" w:rsidRPr="00000000" w14:paraId="0000006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4.3.1.</w:t>
              <w:tab/>
              <w:t xml:space="preserve">A Befektető döntése alapján a Fennálló Tartozás teljes egészében konvertálásra kerül a Társaság akkor fennálló legkedvezőbb jogokat biztosító részesedésére (vagy az azokhoz kapcsolódó azonos jogokat, előnyöket és kötelezettségeket biztosító részesedésre), oly módon, hogy a Fennálló Tartozás összegét elosztják a következő kettő közül az alacsonyabb értékkel:</w:t>
            </w:r>
          </w:p>
        </w:tc>
        <w:tc>
          <w:tcPr/>
          <w:p w:rsidR="00000000" w:rsidDel="00000000" w:rsidP="00000000" w:rsidRDefault="00000000" w:rsidRPr="00000000" w14:paraId="0000006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4.3.1</w:t>
              <w:tab/>
              <w:t xml:space="preserve">if the Investor so decides upon its own discretion, the Outstanding Debt owed to the Investor shall be converted in full into such number of Shares of most senior class then outstanding (or Shares with identical rights and preferences and with the same obligations as such Shares) that is calculated by dividing the Outstanding Debt with the conversion price equal to the lesser of</w:t>
            </w:r>
          </w:p>
        </w:tc>
      </w:tr>
      <w:tr>
        <w:trPr>
          <w:cantSplit w:val="0"/>
          <w:tblHeader w:val="0"/>
        </w:trPr>
        <w:tc>
          <w:tcPr/>
          <w:p w:rsidR="00000000" w:rsidDel="00000000" w:rsidP="00000000" w:rsidRDefault="00000000" w:rsidRPr="00000000" w14:paraId="0000007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4.3.1.1.</w:t>
            </w:r>
            <w:r w:rsidDel="00000000" w:rsidR="00000000" w:rsidRPr="00000000">
              <w:rPr>
                <w:rFonts w:ascii="Times New Roman" w:cs="Times New Roman" w:eastAsia="Times New Roman" w:hAnsi="Times New Roman"/>
                <w:b w:val="1"/>
                <w:bCs w:val="1"/>
                <w:sz w:val="22"/>
                <w:szCs w:val="22"/>
                <w:rtl w:val="0"/>
              </w:rPr>
              <w:t xml:space="preserve"> </w:t>
              <w:tab/>
            </w:r>
            <w:r w:rsidDel="00000000" w:rsidR="00000000" w:rsidRPr="00000000">
              <w:rPr>
                <w:rFonts w:ascii="Times New Roman" w:cs="Times New Roman" w:eastAsia="Times New Roman" w:hAnsi="Times New Roman"/>
                <w:sz w:val="22"/>
                <w:szCs w:val="22"/>
                <w:rtl w:val="0"/>
              </w:rPr>
              <w:t xml:space="preserve"> (100% – Diszkont) szorozva a Likviditási Eseménykori egy részesdés árával/értékével; vagy</w:t>
            </w:r>
          </w:p>
        </w:tc>
        <w:tc>
          <w:tcPr/>
          <w:p w:rsidR="00000000" w:rsidDel="00000000" w:rsidP="00000000" w:rsidRDefault="00000000" w:rsidRPr="00000000" w14:paraId="0000007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4.3.1.1 (100%-Discount) multiplied by the price/value of a Share in the Liquidity Event; or</w:t>
            </w:r>
          </w:p>
        </w:tc>
      </w:tr>
      <w:tr>
        <w:trPr>
          <w:cantSplit w:val="0"/>
          <w:tblHeader w:val="0"/>
        </w:trPr>
        <w:tc>
          <w:tcPr/>
          <w:p w:rsidR="00000000" w:rsidDel="00000000" w:rsidP="00000000" w:rsidRDefault="00000000" w:rsidRPr="00000000" w14:paraId="0000007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4.3.1.2.</w:t>
              <w:tab/>
              <w:t xml:space="preserve">Értékelési plafon osztva a Likviditási Esemény előtt fennálló jegyzett tőkét megtestesítő részesedésszámmal; vagy</w:t>
            </w:r>
          </w:p>
        </w:tc>
        <w:tc>
          <w:tcPr/>
          <w:p w:rsidR="00000000" w:rsidDel="00000000" w:rsidP="00000000" w:rsidRDefault="00000000" w:rsidRPr="00000000" w14:paraId="0000007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4.3.1.2 Valuation Cap / Fully Diluted Share Capital immediately before the Liquidity Event; or</w:t>
            </w:r>
          </w:p>
        </w:tc>
      </w:tr>
      <w:tr>
        <w:trPr>
          <w:cantSplit w:val="0"/>
          <w:tblHeader w:val="0"/>
        </w:trPr>
        <w:tc>
          <w:tcPr/>
          <w:p w:rsidR="00000000" w:rsidDel="00000000" w:rsidP="00000000" w:rsidRDefault="00000000" w:rsidRPr="00000000" w14:paraId="0000007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4.3.2.</w:t>
              <w:tab/>
              <w:t xml:space="preserve">a Társaság a Likviditási Eseményből származó bevétel kézhezvételétől számított öt (5) Munkanapon belül köteles a Befektető felé kifizetni a Fennálló Tartozást.</w:t>
            </w:r>
          </w:p>
        </w:tc>
        <w:tc>
          <w:tcPr/>
          <w:p w:rsidR="00000000" w:rsidDel="00000000" w:rsidP="00000000" w:rsidRDefault="00000000" w:rsidRPr="00000000" w14:paraId="0000007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4.3.2</w:t>
              <w:tab/>
              <w:t xml:space="preserve">the Company shall pay the Outstanding Debt owed to the Investor within 5 Business Days of the receipt of any proceeds of the Liquidity Event.</w:t>
            </w:r>
          </w:p>
        </w:tc>
      </w:tr>
      <w:tr>
        <w:trPr>
          <w:cantSplit w:val="0"/>
          <w:tblHeader w:val="0"/>
        </w:trPr>
        <w:tc>
          <w:tcPr/>
          <w:p w:rsidR="00000000" w:rsidDel="00000000" w:rsidP="00000000" w:rsidRDefault="00000000" w:rsidRPr="00000000" w14:paraId="00000076">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5.</w:t>
              <w:tab/>
              <w:t xml:space="preserve">LEJÁRAT MIATTI KONVERTÁLÁS VAGY VISSZAFIZETÉS</w:t>
            </w:r>
          </w:p>
        </w:tc>
        <w:tc>
          <w:tcPr/>
          <w:p w:rsidR="00000000" w:rsidDel="00000000" w:rsidP="00000000" w:rsidRDefault="00000000" w:rsidRPr="00000000" w14:paraId="00000077">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5.</w:t>
              <w:tab/>
              <w:t xml:space="preserve">MATURITY DATE CONVERSION OR REPAYMENT</w:t>
            </w:r>
          </w:p>
        </w:tc>
      </w:tr>
      <w:tr>
        <w:trPr>
          <w:cantSplit w:val="0"/>
          <w:tblHeader w:val="0"/>
        </w:trPr>
        <w:tc>
          <w:tcPr/>
          <w:p w:rsidR="00000000" w:rsidDel="00000000" w:rsidP="00000000" w:rsidRDefault="00000000" w:rsidRPr="00000000" w14:paraId="0000007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w:t>
              <w:tab/>
            </w:r>
            <w:r w:rsidDel="00000000" w:rsidR="00000000" w:rsidRPr="00000000">
              <w:rPr>
                <w:rFonts w:ascii="Times New Roman" w:cs="Times New Roman" w:eastAsia="Times New Roman" w:hAnsi="Times New Roman"/>
                <w:b w:val="1"/>
                <w:bCs w:val="1"/>
                <w:sz w:val="22"/>
                <w:szCs w:val="22"/>
                <w:rtl w:val="0"/>
              </w:rPr>
              <w:t xml:space="preserve">Lejárat miatti konvertálás vagy visszafizetés</w:t>
            </w:r>
            <w:r w:rsidDel="00000000" w:rsidR="00000000" w:rsidRPr="00000000">
              <w:rPr>
                <w:rtl w:val="0"/>
              </w:rPr>
            </w:r>
          </w:p>
        </w:tc>
        <w:tc>
          <w:tcPr/>
          <w:p w:rsidR="00000000" w:rsidDel="00000000" w:rsidP="00000000" w:rsidRDefault="00000000" w:rsidRPr="00000000" w14:paraId="0000007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w:t>
              <w:tab/>
            </w:r>
            <w:r w:rsidDel="00000000" w:rsidR="00000000" w:rsidRPr="00000000">
              <w:rPr>
                <w:rFonts w:ascii="Times New Roman" w:cs="Times New Roman" w:eastAsia="Times New Roman" w:hAnsi="Times New Roman"/>
                <w:b w:val="1"/>
                <w:bCs w:val="1"/>
                <w:sz w:val="22"/>
                <w:szCs w:val="22"/>
                <w:rtl w:val="0"/>
              </w:rPr>
              <w:t xml:space="preserve">Maturity Date conversion or repayment</w:t>
            </w:r>
            <w:r w:rsidDel="00000000" w:rsidR="00000000" w:rsidRPr="00000000">
              <w:rPr>
                <w:rtl w:val="0"/>
              </w:rPr>
            </w:r>
          </w:p>
        </w:tc>
      </w:tr>
      <w:tr>
        <w:trPr>
          <w:cantSplit w:val="0"/>
          <w:tblHeader w:val="0"/>
        </w:trPr>
        <w:tc>
          <w:tcPr/>
          <w:p w:rsidR="00000000" w:rsidDel="00000000" w:rsidP="00000000" w:rsidRDefault="00000000" w:rsidRPr="00000000" w14:paraId="0000007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 Lejárat bekövetkezik, mielőtt (a) a Társaság kötelező erejű megállapodást kötött volna Minősített Finanszírozásra, vagy (b) megtörtént volna Likviditási Esemény, úgy a Befektető választása szerint az alábbi rendelkezések alkalmazandók:</w:t>
            </w:r>
          </w:p>
        </w:tc>
        <w:tc>
          <w:tcPr/>
          <w:p w:rsidR="00000000" w:rsidDel="00000000" w:rsidP="00000000" w:rsidRDefault="00000000" w:rsidRPr="00000000" w14:paraId="0000007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Maturity Date arrives before (a) the signing of binding agreement(s) for Qualified Financing or (b) the Liquidity Event, then, at the election of the Investor:</w:t>
            </w:r>
          </w:p>
        </w:tc>
      </w:tr>
      <w:tr>
        <w:trPr>
          <w:cantSplit w:val="0"/>
          <w:tblHeader w:val="0"/>
        </w:trPr>
        <w:tc>
          <w:tcPr/>
          <w:p w:rsidR="00000000" w:rsidDel="00000000" w:rsidP="00000000" w:rsidRDefault="00000000" w:rsidRPr="00000000" w14:paraId="0000007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5.1.1.</w:t>
              <w:tab/>
              <w:t xml:space="preserve">A Fennálló Tartozás teljes összege konvertálásra kerül a konvertálás idején érvényben lévő legkedvezőbb befektetői jogokat biztosító részesedésre, melynek értéke úgy állapítandó meg, hogy a Fennálló Tartozás összege elosztásra kerül a konverziós árral, ahol a konverziós ár a Lejárati Értékelés és a jegyzett tőkét megtestesítő részesedésszámmal (azaz a Teljesen Felhígított részesedés darabszám) hányadosa, közvetlenül a Lejáratot megelőzően; vagy</w:t>
            </w:r>
          </w:p>
        </w:tc>
        <w:tc>
          <w:tcPr/>
          <w:p w:rsidR="00000000" w:rsidDel="00000000" w:rsidP="00000000" w:rsidRDefault="00000000" w:rsidRPr="00000000" w14:paraId="0000007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5.1.1</w:t>
              <w:tab/>
              <w:t xml:space="preserve">the Outstanding Debt shall be converted in full into such number of Shares of the most senior class then outstanding, which is calculated by dividing the Outstanding Debt by the conversion price, whereas such conversion price shall be the Maturity Valuation / Fully Diluted Share Capital immediately before the Maturity Date;</w:t>
            </w:r>
          </w:p>
        </w:tc>
      </w:tr>
      <w:tr>
        <w:trPr>
          <w:cantSplit w:val="0"/>
          <w:tblHeader w:val="0"/>
        </w:trPr>
        <w:tc>
          <w:tcPr/>
          <w:p w:rsidR="00000000" w:rsidDel="00000000" w:rsidP="00000000" w:rsidRDefault="00000000" w:rsidRPr="00000000" w14:paraId="0000007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5.1.2.</w:t>
              <w:tab/>
              <w:t xml:space="preserve">a Társaság a Lejárattól számított 10 (tíz) Munkanapon belül kifizeti a Befektető felé Fennálló Tartozást. </w:t>
            </w:r>
          </w:p>
          <w:p w:rsidR="00000000" w:rsidDel="00000000" w:rsidP="00000000" w:rsidRDefault="00000000" w:rsidRPr="00000000" w14:paraId="0000007F">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az 5.1.1. pont alapján valósul meg a konvertálás és a Társaságnak csak egy, általános részesedés fajtája van (például törzsrészvény), akkor a Fennálló Tartozás egy új, elsőbbségi jogokat biztosító részesedésként kerül konvertálásra, amely lényegében azonos jogokat, előnyöket és kötelezettségeket biztosít, mint amelyeket a Szerződés / vagy Magvető Konvertálható Kölcsönszerződés mintadokumentum legfrissebb változata tartalmaz, amely a </w:t>
            </w:r>
            <w:r w:rsidDel="00000000" w:rsidR="00000000" w:rsidRPr="00000000">
              <w:rPr>
                <w:rFonts w:ascii="Times New Roman" w:cs="Times New Roman" w:eastAsia="Times New Roman" w:hAnsi="Times New Roman"/>
                <w:sz w:val="22"/>
                <w:szCs w:val="22"/>
                <w:highlight w:val="yellow"/>
                <w:rtl w:val="0"/>
              </w:rPr>
              <w:t xml:space="preserve">[*]</w:t>
            </w:r>
            <w:r w:rsidDel="00000000" w:rsidR="00000000" w:rsidRPr="00000000">
              <w:rPr>
                <w:rFonts w:ascii="Times New Roman" w:cs="Times New Roman" w:eastAsia="Times New Roman" w:hAnsi="Times New Roman"/>
                <w:sz w:val="22"/>
                <w:szCs w:val="22"/>
                <w:rtl w:val="0"/>
              </w:rPr>
              <w:t xml:space="preserve"> weboldalon érhető el.</w:t>
            </w:r>
          </w:p>
        </w:tc>
        <w:tc>
          <w:tcPr/>
          <w:p w:rsidR="00000000" w:rsidDel="00000000" w:rsidP="00000000" w:rsidRDefault="00000000" w:rsidRPr="00000000" w14:paraId="0000008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5.1.2</w:t>
              <w:tab/>
              <w:t xml:space="preserve">the Company shall pay the Outstanding Debt owed to the Investor within 10 Business Days of the Maturity Date.</w:t>
            </w:r>
            <w:r w:rsidDel="00000000" w:rsidR="00000000" w:rsidRPr="00000000">
              <w:rPr>
                <w:rFonts w:ascii="Times New Roman" w:cs="Times New Roman" w:eastAsia="Times New Roman" w:hAnsi="Times New Roman"/>
                <w:sz w:val="22"/>
                <w:szCs w:val="22"/>
                <w:vertAlign w:val="superscript"/>
                <w:rtl w:val="0"/>
              </w:rPr>
              <w:t xml:space="preserve"> </w:t>
            </w:r>
            <w:r w:rsidDel="00000000" w:rsidR="00000000" w:rsidRPr="00000000">
              <w:rPr>
                <w:rFonts w:ascii="Times New Roman" w:cs="Times New Roman" w:eastAsia="Times New Roman" w:hAnsi="Times New Roman"/>
                <w:sz w:val="22"/>
                <w:szCs w:val="22"/>
                <w:vertAlign w:val="superscript"/>
              </w:rPr>
              <w:footnoteReference w:customMarkFollows="0" w:id="15"/>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82">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Outstanding Debt is converted under Section 5.1.1 and the Company has only one class of Shares outstanding (e.g. common shares), then the Outstanding Debt shall be converted into a new class of (preferred) Shares that give their holders substantially the rights and preferences set forth in this Agreement / in the most recent version of the model Seed Shareholders’ Agreement published at </w:t>
            </w:r>
            <w:r w:rsidDel="00000000" w:rsidR="00000000" w:rsidRPr="00000000">
              <w:rPr>
                <w:rFonts w:ascii="Times New Roman" w:cs="Times New Roman" w:eastAsia="Times New Roman" w:hAnsi="Times New Roman"/>
                <w:sz w:val="22"/>
                <w:szCs w:val="22"/>
                <w:highlight w:val="yellow"/>
                <w:rtl w:val="0"/>
              </w:rPr>
              <w:t xml:space="preserve">[*]</w:t>
            </w:r>
            <w:r w:rsidDel="00000000" w:rsidR="00000000" w:rsidRPr="00000000">
              <w:rPr>
                <w:rFonts w:ascii="Times New Roman" w:cs="Times New Roman" w:eastAsia="Times New Roman" w:hAnsi="Times New Roman"/>
                <w:sz w:val="22"/>
                <w:szCs w:val="22"/>
                <w:rtl w:val="0"/>
              </w:rPr>
              <w:t xml:space="preserve"> website.</w:t>
            </w:r>
            <w:r w:rsidDel="00000000" w:rsidR="00000000" w:rsidRPr="00000000">
              <w:rPr>
                <w:rFonts w:ascii="Times New Roman" w:cs="Times New Roman" w:eastAsia="Times New Roman" w:hAnsi="Times New Roman"/>
                <w:sz w:val="22"/>
                <w:szCs w:val="22"/>
                <w:vertAlign w:val="superscript"/>
              </w:rPr>
              <w:footnoteReference w:customMarkFollows="0" w:id="16"/>
            </w:r>
            <w:r w:rsidDel="00000000" w:rsidR="00000000" w:rsidRPr="00000000">
              <w:rPr>
                <w:rtl w:val="0"/>
              </w:rPr>
            </w:r>
          </w:p>
        </w:tc>
      </w:tr>
      <w:tr>
        <w:trPr>
          <w:cantSplit w:val="0"/>
          <w:tblHeader w:val="0"/>
        </w:trPr>
        <w:tc>
          <w:tcPr/>
          <w:p w:rsidR="00000000" w:rsidDel="00000000" w:rsidP="00000000" w:rsidRDefault="00000000" w:rsidRPr="00000000" w14:paraId="0000008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ALTERNATÍVA: Amennyiben a Befektető a Lejáratot követő 10 munkanapon belül nem küld értesítést a Társaságnak arról, hogy a Fennálló Tartozás visszafizetését kéri az 5.1.2. pont alapján, akkor a Fennálló Tartozás automatikusan az 5.1.1. pont szerintiek szerint megállapított részesésre kerül konvertálásra (és a visszafizetés választásának joga megszűnik).]</w:t>
            </w:r>
          </w:p>
        </w:tc>
        <w:tc>
          <w:tcPr/>
          <w:p w:rsidR="00000000" w:rsidDel="00000000" w:rsidP="00000000" w:rsidRDefault="00000000" w:rsidRPr="00000000" w14:paraId="0000008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[OPTION 1: If the Investor has not sent a notice requiring the repayment of Outstanding Debt under Section 5.1.2 to the Company within 10 Business Days after the Maturity Date, the Outstanding Debt shall be converted into Shares under Section 5.1.1 (and the right to elect the repayment is deemed terminated).]</w:t>
            </w:r>
          </w:p>
        </w:tc>
      </w:tr>
      <w:tr>
        <w:trPr>
          <w:cantSplit w:val="0"/>
          <w:trHeight w:val="2038.828125" w:hRule="atLeast"/>
          <w:tblHeader w:val="0"/>
        </w:trPr>
        <w:tc>
          <w:tcPr/>
          <w:p w:rsidR="00000000" w:rsidDel="00000000" w:rsidP="00000000" w:rsidRDefault="00000000" w:rsidRPr="00000000" w14:paraId="0000008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ALTERNATÍVA: Amennyiben a Befektető a Lejáratot követő 7 munkanapon belül nem küld értesítést a Társaságnak arról, hogy a Fennálló Tartozás teljes egészében az 5.1.1. pont szerinti részesedésre kerüljön konvertálásra, a Társaság köteles az 5.1.2. pont alapján kifizetni a Fennálló Tartozást minden Befektető részére (és a konvertálás választásának joga megszűnik).]</w:t>
            </w:r>
          </w:p>
        </w:tc>
        <w:tc>
          <w:tcPr/>
          <w:p w:rsidR="00000000" w:rsidDel="00000000" w:rsidP="00000000" w:rsidRDefault="00000000" w:rsidRPr="00000000" w14:paraId="0000008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[OPTION 2: If the Investor has not sent a notice requiring the Outstanding Debt to be converted in full to the Shares under Section 5.1.1 to the Company within 7 Business Days after the Maturity Date, the Company shall pay the Outstanding Debt to each Investor under Section 5.1.2 (and the right to elect the conversion is deemed terminated).]</w:t>
            </w:r>
          </w:p>
        </w:tc>
      </w:tr>
      <w:tr>
        <w:trPr>
          <w:cantSplit w:val="0"/>
          <w:trHeight w:val="315" w:hRule="atLeast"/>
          <w:tblHeader w:val="0"/>
        </w:trPr>
        <w:tc>
          <w:tcPr/>
          <w:p w:rsidR="00000000" w:rsidDel="00000000" w:rsidP="00000000" w:rsidRDefault="00000000" w:rsidRPr="00000000" w14:paraId="00000088">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6.</w:t>
              <w:tab/>
              <w:t xml:space="preserve">ELŐTÖRLESZTÉS</w:t>
            </w:r>
          </w:p>
        </w:tc>
        <w:tc>
          <w:tcPr/>
          <w:p w:rsidR="00000000" w:rsidDel="00000000" w:rsidP="00000000" w:rsidRDefault="00000000" w:rsidRPr="00000000" w14:paraId="00000089">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6.</w:t>
              <w:tab/>
              <w:t xml:space="preserve">PREPAYMENT</w:t>
            </w:r>
          </w:p>
        </w:tc>
      </w:tr>
      <w:tr>
        <w:trPr>
          <w:cantSplit w:val="0"/>
          <w:trHeight w:val="315" w:hRule="atLeast"/>
          <w:tblHeader w:val="0"/>
        </w:trPr>
        <w:tc>
          <w:tcPr/>
          <w:p w:rsidR="00000000" w:rsidDel="00000000" w:rsidP="00000000" w:rsidRDefault="00000000" w:rsidRPr="00000000" w14:paraId="0000008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6.1.</w:t>
              <w:tab/>
              <w:t xml:space="preserve">Előtörlesztés szabályai</w:t>
            </w:r>
          </w:p>
        </w:tc>
        <w:tc>
          <w:tcPr/>
          <w:p w:rsidR="00000000" w:rsidDel="00000000" w:rsidP="00000000" w:rsidRDefault="00000000" w:rsidRPr="00000000" w14:paraId="0000008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6.1</w:t>
              <w:tab/>
              <w:t xml:space="preserve">Rules of prepayment </w:t>
            </w:r>
          </w:p>
        </w:tc>
      </w:tr>
      <w:tr>
        <w:trPr>
          <w:cantSplit w:val="0"/>
          <w:trHeight w:val="315" w:hRule="atLeast"/>
          <w:tblHeader w:val="0"/>
        </w:trPr>
        <w:tc>
          <w:tcPr/>
          <w:p w:rsidR="00000000" w:rsidDel="00000000" w:rsidP="00000000" w:rsidRDefault="00000000" w:rsidRPr="00000000" w14:paraId="0000008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Ptk. 6:43.§-val összhangban a Fennálló Tartozás előtörlesztésére a Felek megállapodása alapján vagy a  jelen szerződés 4.3 pontjában meghatározott esetekben kerül sor.</w:t>
            </w:r>
          </w:p>
        </w:tc>
        <w:tc>
          <w:tcPr/>
          <w:p w:rsidR="00000000" w:rsidDel="00000000" w:rsidP="00000000" w:rsidRDefault="00000000" w:rsidRPr="00000000" w14:paraId="0000008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live with Sectuin 6:43 of the Civil Code the prepayment of the Outstanding Debt takes place based on the agreement of the Parties or in the case defined in Section 4.3 of this Agreement.</w:t>
            </w:r>
          </w:p>
        </w:tc>
      </w:tr>
      <w:tr>
        <w:trPr>
          <w:cantSplit w:val="0"/>
          <w:tblHeader w:val="0"/>
        </w:trPr>
        <w:tc>
          <w:tcPr/>
          <w:p w:rsidR="00000000" w:rsidDel="00000000" w:rsidP="00000000" w:rsidRDefault="00000000" w:rsidRPr="00000000" w14:paraId="0000008E">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7.</w:t>
              <w:tab/>
              <w:t xml:space="preserve">SZERZŐDÉSSZEGÉS</w:t>
            </w:r>
          </w:p>
        </w:tc>
        <w:tc>
          <w:tcPr/>
          <w:p w:rsidR="00000000" w:rsidDel="00000000" w:rsidP="00000000" w:rsidRDefault="00000000" w:rsidRPr="00000000" w14:paraId="0000008F">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7.</w:t>
              <w:tab/>
              <w:t xml:space="preserve">EVENT OF DEFAULT</w:t>
            </w:r>
          </w:p>
        </w:tc>
      </w:tr>
      <w:tr>
        <w:trPr>
          <w:cantSplit w:val="0"/>
          <w:tblHeader w:val="0"/>
        </w:trPr>
        <w:tc>
          <w:tcPr/>
          <w:p w:rsidR="00000000" w:rsidDel="00000000" w:rsidP="00000000" w:rsidRDefault="00000000" w:rsidRPr="00000000" w14:paraId="0000009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7.1</w:t>
            </w:r>
            <w:r w:rsidDel="00000000" w:rsidR="00000000" w:rsidRPr="00000000">
              <w:rPr>
                <w:rFonts w:ascii="Times New Roman" w:cs="Times New Roman" w:eastAsia="Times New Roman" w:hAnsi="Times New Roman"/>
                <w:b w:val="1"/>
                <w:bCs w:val="1"/>
                <w:sz w:val="22"/>
                <w:szCs w:val="22"/>
                <w:rtl w:val="0"/>
              </w:rPr>
              <w:tab/>
              <w:t xml:space="preserve">Szerződésszegési esemény meghatározása</w:t>
            </w:r>
            <w:r w:rsidDel="00000000" w:rsidR="00000000" w:rsidRPr="00000000">
              <w:rPr>
                <w:rtl w:val="0"/>
              </w:rPr>
            </w:r>
          </w:p>
        </w:tc>
        <w:tc>
          <w:tcPr/>
          <w:p w:rsidR="00000000" w:rsidDel="00000000" w:rsidP="00000000" w:rsidRDefault="00000000" w:rsidRPr="00000000" w14:paraId="0000009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7.1</w:t>
            </w:r>
            <w:r w:rsidDel="00000000" w:rsidR="00000000" w:rsidRPr="00000000">
              <w:rPr>
                <w:rFonts w:ascii="Times New Roman" w:cs="Times New Roman" w:eastAsia="Times New Roman" w:hAnsi="Times New Roman"/>
                <w:b w:val="1"/>
                <w:bCs w:val="1"/>
                <w:sz w:val="22"/>
                <w:szCs w:val="22"/>
                <w:rtl w:val="0"/>
              </w:rPr>
              <w:tab/>
              <w:t xml:space="preserve">Definition of Event of Default</w:t>
            </w:r>
            <w:r w:rsidDel="00000000" w:rsidR="00000000" w:rsidRPr="00000000">
              <w:rPr>
                <w:rtl w:val="0"/>
              </w:rPr>
            </w:r>
          </w:p>
        </w:tc>
      </w:tr>
      <w:tr>
        <w:trPr>
          <w:cantSplit w:val="0"/>
          <w:tblHeader w:val="0"/>
        </w:trPr>
        <w:tc>
          <w:tcPr/>
          <w:p w:rsidR="00000000" w:rsidDel="00000000" w:rsidP="00000000" w:rsidRDefault="00000000" w:rsidRPr="00000000" w14:paraId="0000009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rtl w:val="0"/>
              </w:rPr>
              <w:t xml:space="preserve">Szerződésszegés</w:t>
            </w:r>
            <w:r w:rsidDel="00000000" w:rsidR="00000000" w:rsidRPr="00000000">
              <w:rPr>
                <w:rFonts w:ascii="Times New Roman" w:cs="Times New Roman" w:eastAsia="Times New Roman" w:hAnsi="Times New Roman"/>
                <w:sz w:val="22"/>
                <w:szCs w:val="22"/>
                <w:rtl w:val="0"/>
              </w:rPr>
              <w:t xml:space="preserve">” alatt a következők értendők (a) a Társaság ellen felszámolási eljárás megindítása [</w:t>
            </w:r>
            <w:r w:rsidDel="00000000" w:rsidR="00000000" w:rsidRPr="00000000">
              <w:rPr>
                <w:rFonts w:ascii="Times New Roman" w:cs="Times New Roman" w:eastAsia="Times New Roman" w:hAnsi="Times New Roman"/>
                <w:i w:val="1"/>
                <w:iCs w:val="1"/>
                <w:sz w:val="22"/>
                <w:szCs w:val="22"/>
                <w:rtl w:val="0"/>
              </w:rPr>
              <w:t xml:space="preserve">vagy Magyarországon esetleg a Társaság ellen kényszertörlési eljárás megindítása</w:t>
            </w:r>
            <w:r w:rsidDel="00000000" w:rsidR="00000000" w:rsidRPr="00000000">
              <w:rPr>
                <w:rFonts w:ascii="Times New Roman" w:cs="Times New Roman" w:eastAsia="Times New Roman" w:hAnsi="Times New Roman"/>
                <w:sz w:val="22"/>
                <w:szCs w:val="22"/>
                <w:rtl w:val="0"/>
              </w:rPr>
              <w:t xml:space="preserve">]; vagy (b) ha a Társaság fizetési haladék iránti kérelmet nyújt be, csődeljárást kezdeményez, vagy egyéb módon csőd- vagy más fizetésképtelenségi eljárás hatálya alá kerül; vagy (c) a Jóváhagyási Megállapodás megszűnése, illetve annak olyan módosítása, amely hátrányosan érinti a Társaság képességét a Szerződés szerinti kötelezettségek teljesítésére; vagy (d) amennyiben a Társaság eszközeinek lényeges része végrehajtási eljárás elrendelése miatt lefoglalásra kerül, amely az elrendelésétől számított harminc (30) napon belül nem kerül visszavonásra (a „lényeges rész” meghatározása a Befektetői Többség hatáskörébe tartozik); vagy (e) ha a Társaság vagy bármely Alapító megsérti a 9. fejezetben foglalt bármely kötelezettségét, vagy ha a jogsértés orvosolható, azt az annak bekövetkezésétől számított harminc (30) napon belül nem orvosolják.</w:t>
            </w:r>
          </w:p>
        </w:tc>
        <w:tc>
          <w:tcPr/>
          <w:p w:rsidR="00000000" w:rsidDel="00000000" w:rsidP="00000000" w:rsidRDefault="00000000" w:rsidRPr="00000000" w14:paraId="0000009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rtl w:val="0"/>
              </w:rPr>
              <w:t xml:space="preserve">Event of Default</w:t>
            </w:r>
            <w:r w:rsidDel="00000000" w:rsidR="00000000" w:rsidRPr="00000000">
              <w:rPr>
                <w:rFonts w:ascii="Times New Roman" w:cs="Times New Roman" w:eastAsia="Times New Roman" w:hAnsi="Times New Roman"/>
                <w:sz w:val="22"/>
                <w:szCs w:val="22"/>
                <w:rtl w:val="0"/>
              </w:rPr>
              <w:t xml:space="preserve">” means (a) the commencement of the      liquidation (in      Hungarian: felszámolás) in respect of the Company [</w:t>
            </w:r>
            <w:r w:rsidDel="00000000" w:rsidR="00000000" w:rsidRPr="00000000">
              <w:rPr>
                <w:rFonts w:ascii="Times New Roman" w:cs="Times New Roman" w:eastAsia="Times New Roman" w:hAnsi="Times New Roman"/>
                <w:i w:val="1"/>
                <w:iCs w:val="1"/>
                <w:sz w:val="22"/>
                <w:szCs w:val="22"/>
                <w:rtl w:val="0"/>
              </w:rPr>
              <w:t xml:space="preserve">or in Hungary obligatory termination - ényszertörlés</w:t>
            </w:r>
            <w:r w:rsidDel="00000000" w:rsidR="00000000" w:rsidRPr="00000000">
              <w:rPr>
                <w:rFonts w:ascii="Times New Roman" w:cs="Times New Roman" w:eastAsia="Times New Roman" w:hAnsi="Times New Roman"/>
                <w:sz w:val="22"/>
                <w:szCs w:val="22"/>
                <w:rtl w:val="0"/>
              </w:rPr>
              <w:t xml:space="preserve">] ; or (b)      if the Company files a petition for the suspension of payment, files for its own bankruptcy or is otherwise subject to bankruptcy other insolvency proceedings, or (c) the termination of the Approval Agreement or any amendment of the Approval Agreement that has an adverse effect on the ability of the Company to perform its obligations under this Agreement, or (d) in the event an executory attachment is levied on a material part of the assets of the Company which is not withdrawn within 30 days of it being imposed (where what constitutes “a material part” shall be determined by Investor Majority), or (e) a breach by the Company or any Founder of any obligation under Section 9 that, if capable of cure, is not cured within 30 days of committing the breach.</w:t>
            </w:r>
          </w:p>
        </w:tc>
      </w:tr>
      <w:tr>
        <w:trPr>
          <w:cantSplit w:val="0"/>
          <w:tblHeader w:val="0"/>
        </w:trPr>
        <w:tc>
          <w:tcPr/>
          <w:p w:rsidR="00000000" w:rsidDel="00000000" w:rsidP="00000000" w:rsidRDefault="00000000" w:rsidRPr="00000000" w14:paraId="0000009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w:t>
              <w:tab/>
            </w:r>
            <w:r w:rsidDel="00000000" w:rsidR="00000000" w:rsidRPr="00000000">
              <w:rPr>
                <w:rFonts w:ascii="Times New Roman" w:cs="Times New Roman" w:eastAsia="Times New Roman" w:hAnsi="Times New Roman"/>
                <w:b w:val="1"/>
                <w:bCs w:val="1"/>
                <w:sz w:val="22"/>
                <w:szCs w:val="22"/>
                <w:rtl w:val="0"/>
              </w:rPr>
              <w:t xml:space="preserve">Tájékoztatási kötelezettség</w:t>
            </w:r>
            <w:r w:rsidDel="00000000" w:rsidR="00000000" w:rsidRPr="00000000">
              <w:rPr>
                <w:rtl w:val="0"/>
              </w:rPr>
            </w:r>
          </w:p>
        </w:tc>
        <w:tc>
          <w:tcPr/>
          <w:p w:rsidR="00000000" w:rsidDel="00000000" w:rsidP="00000000" w:rsidRDefault="00000000" w:rsidRPr="00000000" w14:paraId="0000009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w:t>
              <w:tab/>
            </w:r>
            <w:r w:rsidDel="00000000" w:rsidR="00000000" w:rsidRPr="00000000">
              <w:rPr>
                <w:rFonts w:ascii="Times New Roman" w:cs="Times New Roman" w:eastAsia="Times New Roman" w:hAnsi="Times New Roman"/>
                <w:b w:val="1"/>
                <w:bCs w:val="1"/>
                <w:sz w:val="22"/>
                <w:szCs w:val="22"/>
                <w:rtl w:val="0"/>
              </w:rPr>
              <w:t xml:space="preserve">Notice about Event of Default</w:t>
            </w:r>
            <w:r w:rsidDel="00000000" w:rsidR="00000000" w:rsidRPr="00000000">
              <w:rPr>
                <w:rtl w:val="0"/>
              </w:rPr>
            </w:r>
          </w:p>
        </w:tc>
      </w:tr>
      <w:tr>
        <w:trPr>
          <w:cantSplit w:val="0"/>
          <w:tblHeader w:val="0"/>
        </w:trPr>
        <w:tc>
          <w:tcPr/>
          <w:p w:rsidR="00000000" w:rsidDel="00000000" w:rsidP="00000000" w:rsidRDefault="00000000" w:rsidRPr="00000000" w14:paraId="0000009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Amint a Társaság tudomást szerez bármely Szerződésszegésről, köteles haladéktalanul értesíteni a Befektetőt, és egyidejűleg megjelölni a Szerződésszegés orvoslása érdekében megtett vagy tervezett intézkedéseket.</w:t>
            </w:r>
          </w:p>
        </w:tc>
        <w:tc>
          <w:tcPr/>
          <w:p w:rsidR="00000000" w:rsidDel="00000000" w:rsidP="00000000" w:rsidRDefault="00000000" w:rsidRPr="00000000" w14:paraId="0000009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Upon becoming aware of an Event of Default, the Company shall promptly notify the Investor of the same and of any action taken or proposed to be taken in connection with the same.</w:t>
            </w:r>
          </w:p>
        </w:tc>
      </w:tr>
      <w:tr>
        <w:trPr>
          <w:cantSplit w:val="0"/>
          <w:tblHeader w:val="0"/>
        </w:trPr>
        <w:tc>
          <w:tcPr/>
          <w:p w:rsidR="00000000" w:rsidDel="00000000" w:rsidP="00000000" w:rsidRDefault="00000000" w:rsidRPr="00000000" w14:paraId="0000009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7.3.</w:t>
              <w:tab/>
            </w:r>
            <w:r w:rsidDel="00000000" w:rsidR="00000000" w:rsidRPr="00000000">
              <w:rPr>
                <w:rFonts w:ascii="Times New Roman" w:cs="Times New Roman" w:eastAsia="Times New Roman" w:hAnsi="Times New Roman"/>
                <w:b w:val="1"/>
                <w:bCs w:val="1"/>
                <w:sz w:val="22"/>
                <w:szCs w:val="22"/>
                <w:rtl w:val="0"/>
              </w:rPr>
              <w:t xml:space="preserve">Visszafizetés</w:t>
            </w:r>
            <w:r w:rsidDel="00000000" w:rsidR="00000000" w:rsidRPr="00000000">
              <w:rPr>
                <w:rtl w:val="0"/>
              </w:rPr>
            </w:r>
          </w:p>
        </w:tc>
        <w:tc>
          <w:tcPr/>
          <w:p w:rsidR="00000000" w:rsidDel="00000000" w:rsidP="00000000" w:rsidRDefault="00000000" w:rsidRPr="00000000" w14:paraId="0000009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7.3</w:t>
              <w:tab/>
            </w:r>
            <w:r w:rsidDel="00000000" w:rsidR="00000000" w:rsidRPr="00000000">
              <w:rPr>
                <w:rFonts w:ascii="Times New Roman" w:cs="Times New Roman" w:eastAsia="Times New Roman" w:hAnsi="Times New Roman"/>
                <w:b w:val="1"/>
                <w:bCs w:val="1"/>
                <w:sz w:val="22"/>
                <w:szCs w:val="22"/>
                <w:rtl w:val="0"/>
              </w:rPr>
              <w:t xml:space="preserve">Repayment upon Event of Default</w:t>
            </w:r>
            <w:r w:rsidDel="00000000" w:rsidR="00000000" w:rsidRPr="00000000">
              <w:rPr>
                <w:rtl w:val="0"/>
              </w:rPr>
            </w:r>
          </w:p>
        </w:tc>
      </w:tr>
      <w:tr>
        <w:trPr>
          <w:cantSplit w:val="0"/>
          <w:tblHeader w:val="0"/>
        </w:trPr>
        <w:tc>
          <w:tcPr/>
          <w:p w:rsidR="00000000" w:rsidDel="00000000" w:rsidP="00000000" w:rsidRDefault="00000000" w:rsidRPr="00000000" w14:paraId="0000009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Szerződésszegés bekövetkezésekor a Befektető kérésére a Fennálló Tartozást a Társaság köteles visszafizetni.</w:t>
            </w:r>
          </w:p>
        </w:tc>
        <w:tc>
          <w:tcPr/>
          <w:p w:rsidR="00000000" w:rsidDel="00000000" w:rsidP="00000000" w:rsidRDefault="00000000" w:rsidRPr="00000000" w14:paraId="0000009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Upon the occurrence of Event of Default, the Outstanding Debt shall be repaid to the Investor at its request.</w:t>
            </w:r>
          </w:p>
        </w:tc>
      </w:tr>
      <w:tr>
        <w:trPr>
          <w:cantSplit w:val="0"/>
          <w:tblHeader w:val="0"/>
        </w:trPr>
        <w:tc>
          <w:tcPr/>
          <w:p w:rsidR="00000000" w:rsidDel="00000000" w:rsidP="00000000" w:rsidRDefault="00000000" w:rsidRPr="00000000" w14:paraId="0000009C">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8.</w:t>
              <w:tab/>
              <w:t xml:space="preserve">KONVERTÁLÁSI FOLYAMAT</w:t>
            </w:r>
          </w:p>
        </w:tc>
        <w:tc>
          <w:tcPr/>
          <w:p w:rsidR="00000000" w:rsidDel="00000000" w:rsidP="00000000" w:rsidRDefault="00000000" w:rsidRPr="00000000" w14:paraId="0000009D">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8.</w:t>
              <w:tab/>
              <w:t xml:space="preserve">CONVERSION PROCESS</w:t>
            </w:r>
          </w:p>
        </w:tc>
      </w:tr>
      <w:tr>
        <w:trPr>
          <w:cantSplit w:val="0"/>
          <w:tblHeader w:val="0"/>
        </w:trPr>
        <w:tc>
          <w:tcPr/>
          <w:p w:rsidR="00000000" w:rsidDel="00000000" w:rsidP="00000000" w:rsidRDefault="00000000" w:rsidRPr="00000000" w14:paraId="0000009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8.1.</w:t>
              <w:tab/>
            </w:r>
            <w:r w:rsidDel="00000000" w:rsidR="00000000" w:rsidRPr="00000000">
              <w:rPr>
                <w:rFonts w:ascii="Times New Roman" w:cs="Times New Roman" w:eastAsia="Times New Roman" w:hAnsi="Times New Roman"/>
                <w:b w:val="1"/>
                <w:bCs w:val="1"/>
                <w:sz w:val="22"/>
                <w:szCs w:val="22"/>
                <w:rtl w:val="0"/>
              </w:rPr>
              <w:t xml:space="preserve">Konverziós részesedések kibocsátása</w:t>
            </w:r>
            <w:r w:rsidDel="00000000" w:rsidR="00000000" w:rsidRPr="00000000">
              <w:rPr>
                <w:rtl w:val="0"/>
              </w:rPr>
            </w:r>
          </w:p>
        </w:tc>
        <w:tc>
          <w:tcPr/>
          <w:p w:rsidR="00000000" w:rsidDel="00000000" w:rsidP="00000000" w:rsidRDefault="00000000" w:rsidRPr="00000000" w14:paraId="0000009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8.1</w:t>
              <w:tab/>
            </w:r>
            <w:r w:rsidDel="00000000" w:rsidR="00000000" w:rsidRPr="00000000">
              <w:rPr>
                <w:rFonts w:ascii="Times New Roman" w:cs="Times New Roman" w:eastAsia="Times New Roman" w:hAnsi="Times New Roman"/>
                <w:b w:val="1"/>
                <w:bCs w:val="1"/>
                <w:sz w:val="22"/>
                <w:szCs w:val="22"/>
                <w:rtl w:val="0"/>
              </w:rPr>
              <w:t xml:space="preserve">Issue of Conversion Shares</w:t>
            </w:r>
            <w:r w:rsidDel="00000000" w:rsidR="00000000" w:rsidRPr="00000000">
              <w:rPr>
                <w:rtl w:val="0"/>
              </w:rPr>
            </w:r>
          </w:p>
        </w:tc>
      </w:tr>
      <w:tr>
        <w:trPr>
          <w:cantSplit w:val="0"/>
          <w:tblHeader w:val="0"/>
        </w:trPr>
        <w:tc>
          <w:tcPr/>
          <w:p w:rsidR="00000000" w:rsidDel="00000000" w:rsidP="00000000" w:rsidRDefault="00000000" w:rsidRPr="00000000" w14:paraId="000000A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 Fennálló Tartozás a jelen Szerződés értelmében részesedésre (a továbbiakban: „</w:t>
            </w:r>
            <w:r w:rsidDel="00000000" w:rsidR="00000000" w:rsidRPr="00000000">
              <w:rPr>
                <w:rFonts w:ascii="Times New Roman" w:cs="Times New Roman" w:eastAsia="Times New Roman" w:hAnsi="Times New Roman"/>
                <w:b w:val="1"/>
                <w:bCs w:val="1"/>
                <w:sz w:val="22"/>
                <w:szCs w:val="22"/>
                <w:rtl w:val="0"/>
              </w:rPr>
              <w:t xml:space="preserve">Konverziós Részesedés</w:t>
            </w:r>
            <w:r w:rsidDel="00000000" w:rsidR="00000000" w:rsidRPr="00000000">
              <w:rPr>
                <w:rFonts w:ascii="Times New Roman" w:cs="Times New Roman" w:eastAsia="Times New Roman" w:hAnsi="Times New Roman"/>
                <w:sz w:val="22"/>
                <w:szCs w:val="22"/>
                <w:rtl w:val="0"/>
              </w:rPr>
              <w:t xml:space="preserve">”) kerül konvertálásra, </w:t>
            </w:r>
          </w:p>
          <w:p w:rsidR="00000000" w:rsidDel="00000000" w:rsidP="00000000" w:rsidRDefault="00000000" w:rsidRPr="00000000" w14:paraId="000000A1">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ALTERNATÍVA: A Társaság köteles gondoskodni arról, hogy a jegyzett tőkéje a Befektető javára a Konvertálási Részesedés kibocsátásával felemelésre kerüljön. Ezen eljárás során a Társaság többi tulajdonosának elővásárlási és elsőbbségi jegyzési joga nem kerül gyakorlásra [</w:t>
            </w:r>
            <w:r w:rsidDel="00000000" w:rsidR="00000000" w:rsidRPr="00000000">
              <w:rPr>
                <w:rFonts w:ascii="Times New Roman" w:cs="Times New Roman" w:eastAsia="Times New Roman" w:hAnsi="Times New Roman"/>
                <w:i w:val="1"/>
                <w:iCs w:val="1"/>
                <w:sz w:val="22"/>
                <w:szCs w:val="22"/>
                <w:rtl w:val="0"/>
              </w:rPr>
              <w:t xml:space="preserve">a Jóváhagyási Megállapodás alapján</w:t>
            </w:r>
            <w:r w:rsidDel="00000000" w:rsidR="00000000" w:rsidRPr="00000000">
              <w:rPr>
                <w:rFonts w:ascii="Times New Roman" w:cs="Times New Roman" w:eastAsia="Times New Roman" w:hAnsi="Times New Roman"/>
                <w:sz w:val="22"/>
                <w:szCs w:val="22"/>
                <w:rtl w:val="0"/>
              </w:rPr>
              <w:t xml:space="preserve">], és a Befektető a Szerződésben meghatározott számú vagy arányú Konverziós Részesedést kap. A Konverziós Részesedés törtrészére vonatkozó jogosultság a vonatkozó részesedés legalacsonyabb névértékének megfelelő legközelebbi egész számra kerekítendő, jegyzési ára pedig megegyezik a Fennálló Tartozás összegével. A Társaság a Befektető számára a Szerződés szerint meghatározott részesedési arány eléréséhez szükséges névértékkel és a részvényhez/üzletrészhez kapcsolódó ázsióval bocsát ki részesedést.</w:t>
            </w:r>
          </w:p>
        </w:tc>
        <w:tc>
          <w:tcPr/>
          <w:p w:rsidR="00000000" w:rsidDel="00000000" w:rsidP="00000000" w:rsidRDefault="00000000" w:rsidRPr="00000000" w14:paraId="000000A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Outstanding Debt is to be converted into Shares (the “Conversion Shares”) under this Agreement, </w:t>
            </w:r>
          </w:p>
          <w:p w:rsidR="00000000" w:rsidDel="00000000" w:rsidP="00000000" w:rsidRDefault="00000000" w:rsidRPr="00000000" w14:paraId="000000A4">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OPTION 1: the Company shall procure that its share capital is increased through a share issue directed to the Investor entitled to receive Conversion Shares with pre-emptive and preferential subscription rights of other shareholders of the Company being excluded so that the Investor is issued the number of Conversion Shares determined in accordance with this Agreement (with any entitlement to a fraction of a Conversion Share being rounded to the nearest number that corresponds to the lowest nominal value of the respective share) for the subscription price equal to the Outstanding Debt. The Company shall issue shares to the Investor with a nominal value and share premium so as to create the shareholding proportion determined in accordance with this Agreement. </w:t>
            </w:r>
          </w:p>
        </w:tc>
      </w:tr>
      <w:tr>
        <w:trPr>
          <w:cantSplit w:val="0"/>
          <w:tblHeader w:val="0"/>
        </w:trPr>
        <w:tc>
          <w:tcPr/>
          <w:p w:rsidR="00000000" w:rsidDel="00000000" w:rsidP="00000000" w:rsidRDefault="00000000" w:rsidRPr="00000000" w14:paraId="000000A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ALTERNATÍVA: A fennálló tartozás automatikusan konvertálásra kerül, oly módon, hogy a Befektető a Társaság jegyzett tőkéjét a Fennálló Tartozás értékével, mint nem pénzbeli hozzájárulással (apporttal) emeli meg, amelynek eredményeként elsőbbségi jogokat biztosító részesedést szerez a Társaságban. A Befektető a Konverziós Részesedések ellenértékét úgy teljesíti, hogy a fennálló tartozásból eredő követelését nem pénzbeli hozzájárulásként a Társaságba apportálja, és a Társaság által megjelölt formában aláírja a megfelelő aport nyilatkozatot.</w:t>
            </w:r>
          </w:p>
        </w:tc>
        <w:tc>
          <w:tcPr/>
          <w:p w:rsidR="00000000" w:rsidDel="00000000" w:rsidP="00000000" w:rsidRDefault="00000000" w:rsidRPr="00000000" w14:paraId="000000A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OPTION 2: The Outstanding Debt shall automatically convert in a manner that the Investor increases the Company’s registered capital with the amount of the Outstanding Debt as in-kind contribution as a result of which it acquires preferred Shares in the Company. The Investor shall pay for the Conversion Shares by contributing its claim of Outstanding Debt to the Company as a non-monetary contribution and entering into a relevant agreement for the transfer of the non-monetary contribution in the form provided by the Company.</w:t>
            </w:r>
          </w:p>
        </w:tc>
      </w:tr>
      <w:tr>
        <w:trPr>
          <w:cantSplit w:val="0"/>
          <w:tblHeader w:val="0"/>
        </w:trPr>
        <w:tc>
          <w:tcPr/>
          <w:p w:rsidR="00000000" w:rsidDel="00000000" w:rsidP="00000000" w:rsidRDefault="00000000" w:rsidRPr="00000000" w14:paraId="000000A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w:t>
              <w:tab/>
            </w:r>
            <w:r w:rsidDel="00000000" w:rsidR="00000000" w:rsidRPr="00000000">
              <w:rPr>
                <w:rFonts w:ascii="Times New Roman" w:cs="Times New Roman" w:eastAsia="Times New Roman" w:hAnsi="Times New Roman"/>
                <w:b w:val="1"/>
                <w:bCs w:val="1"/>
                <w:sz w:val="22"/>
                <w:szCs w:val="22"/>
                <w:rtl w:val="0"/>
              </w:rPr>
              <w:t xml:space="preserve">A Konverziós Részesedések kibocsátásának határideje</w:t>
            </w:r>
            <w:r w:rsidDel="00000000" w:rsidR="00000000" w:rsidRPr="00000000">
              <w:rPr>
                <w:rtl w:val="0"/>
              </w:rPr>
            </w:r>
          </w:p>
        </w:tc>
        <w:tc>
          <w:tcPr/>
          <w:p w:rsidR="00000000" w:rsidDel="00000000" w:rsidP="00000000" w:rsidRDefault="00000000" w:rsidRPr="00000000" w14:paraId="000000AA">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8.2</w:t>
            </w:r>
            <w:r w:rsidDel="00000000" w:rsidR="00000000" w:rsidRPr="00000000">
              <w:rPr>
                <w:rFonts w:ascii="Times New Roman" w:cs="Times New Roman" w:eastAsia="Times New Roman" w:hAnsi="Times New Roman"/>
                <w:b w:val="1"/>
                <w:bCs w:val="1"/>
                <w:sz w:val="22"/>
                <w:szCs w:val="22"/>
                <w:rtl w:val="0"/>
              </w:rPr>
              <w:tab/>
              <w:t xml:space="preserve">Term for completion of issue of Conversion Shares</w:t>
            </w:r>
          </w:p>
        </w:tc>
      </w:tr>
      <w:tr>
        <w:trPr>
          <w:cantSplit w:val="0"/>
          <w:tblHeader w:val="0"/>
        </w:trPr>
        <w:tc>
          <w:tcPr/>
          <w:p w:rsidR="00000000" w:rsidDel="00000000" w:rsidP="00000000" w:rsidRDefault="00000000" w:rsidRPr="00000000" w14:paraId="000000A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Társaság köteles megtenni, és Tagjaitól is megkövetelni minden szükséges intézkedést, ideértve különösen a tulajdonosi határozatok elfogadását, a tulajdonosok elővásárlási jogairól való lemondást, a Társaság létesítő okiratának módosítását, a Fennálló Tartozás értékelésének megszervezését, valamint a vonatkozó nyilvántartásokba történő bejelentések megtételét, annak érdekében, hogy a Konverziós Részesedések a Befektetők részére történő kibocsátása és nyilvántartásba vétele a következő ütemezés szerint történjen:</w:t>
            </w:r>
          </w:p>
        </w:tc>
        <w:tc>
          <w:tcPr/>
          <w:p w:rsidR="00000000" w:rsidDel="00000000" w:rsidP="00000000" w:rsidRDefault="00000000" w:rsidRPr="00000000" w14:paraId="000000A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Company shall take, and procure that its shareholders will take all actions, including that they will, adopt shareholders’ resolutions, waive shareholders’ pre-emptive rights, amend the Company’s articles of association, arrange the valuation of the Outstanding Debt and submit applications to the relevant registers so as to procure that the issuance of Conversion Shares to the Investor is completed and registered in the relevant registers:</w:t>
            </w:r>
          </w:p>
        </w:tc>
      </w:tr>
      <w:tr>
        <w:trPr>
          <w:cantSplit w:val="0"/>
          <w:tblHeader w:val="0"/>
        </w:trPr>
        <w:tc>
          <w:tcPr/>
          <w:p w:rsidR="00000000" w:rsidDel="00000000" w:rsidP="00000000" w:rsidRDefault="00000000" w:rsidRPr="00000000" w14:paraId="000000A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8.2.1.</w:t>
              <w:tab/>
              <w:t xml:space="preserve">a Minősített Finanszírozás zárásától számított 20 munkanapon belül, ha a konvertálásra a 3. fejezet alapján kerül sor; vagy</w:t>
            </w:r>
          </w:p>
        </w:tc>
        <w:tc>
          <w:tcPr/>
          <w:p w:rsidR="00000000" w:rsidDel="00000000" w:rsidP="00000000" w:rsidRDefault="00000000" w:rsidRPr="00000000" w14:paraId="000000A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8.2.1</w:t>
              <w:tab/>
              <w:t xml:space="preserve">within 20 Business Days of the closing of the Qualified Financing, if the conversion is made under Section 3; or</w:t>
            </w:r>
          </w:p>
        </w:tc>
      </w:tr>
      <w:tr>
        <w:trPr>
          <w:cantSplit w:val="0"/>
          <w:tblHeader w:val="0"/>
        </w:trPr>
        <w:tc>
          <w:tcPr/>
          <w:p w:rsidR="00000000" w:rsidDel="00000000" w:rsidP="00000000" w:rsidRDefault="00000000" w:rsidRPr="00000000" w14:paraId="000000A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8.2.2.</w:t>
              <w:tab/>
              <w:t xml:space="preserve">közvetlenül a Likviditási Esemény bekövetkezése előtt, ha a konvertálásra a 4. fejezet alapján kerül sor; vagy</w:t>
            </w:r>
          </w:p>
        </w:tc>
        <w:tc>
          <w:tcPr/>
          <w:p w:rsidR="00000000" w:rsidDel="00000000" w:rsidP="00000000" w:rsidRDefault="00000000" w:rsidRPr="00000000" w14:paraId="000000B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8.2.2</w:t>
              <w:tab/>
              <w:t xml:space="preserve">immediately prior to but conditional upon the occurrence of a Liquidity Event, if the conversion is made under Section 4; or</w:t>
            </w:r>
          </w:p>
        </w:tc>
      </w:tr>
      <w:tr>
        <w:trPr>
          <w:cantSplit w:val="0"/>
          <w:tblHeader w:val="0"/>
        </w:trPr>
        <w:tc>
          <w:tcPr/>
          <w:p w:rsidR="00000000" w:rsidDel="00000000" w:rsidP="00000000" w:rsidRDefault="00000000" w:rsidRPr="00000000" w14:paraId="000000B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8.2.3.</w:t>
              <w:tab/>
              <w:t xml:space="preserve">a Lejárattól számított 20 munkanapon belül, ha a konvertálásra az 5. fejezet alapján kerül sor.</w:t>
            </w:r>
          </w:p>
        </w:tc>
        <w:tc>
          <w:tcPr/>
          <w:p w:rsidR="00000000" w:rsidDel="00000000" w:rsidP="00000000" w:rsidRDefault="00000000" w:rsidRPr="00000000" w14:paraId="000000B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8.2.3</w:t>
              <w:tab/>
              <w:t xml:space="preserve">within 20 Business Days of the Maturity Date, if the conversion is made under Section 5.</w:t>
            </w:r>
          </w:p>
        </w:tc>
      </w:tr>
      <w:tr>
        <w:trPr>
          <w:cantSplit w:val="0"/>
          <w:tblHeader w:val="0"/>
        </w:trPr>
        <w:tc>
          <w:tcPr/>
          <w:p w:rsidR="00000000" w:rsidDel="00000000" w:rsidP="00000000" w:rsidRDefault="00000000" w:rsidRPr="00000000" w14:paraId="000000B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8.3.</w:t>
              <w:tab/>
            </w:r>
            <w:r w:rsidDel="00000000" w:rsidR="00000000" w:rsidRPr="00000000">
              <w:rPr>
                <w:rFonts w:ascii="Times New Roman" w:cs="Times New Roman" w:eastAsia="Times New Roman" w:hAnsi="Times New Roman"/>
                <w:b w:val="1"/>
                <w:bCs w:val="1"/>
                <w:sz w:val="22"/>
                <w:szCs w:val="22"/>
                <w:rtl w:val="0"/>
              </w:rPr>
              <w:t xml:space="preserve">Konverziós Részesedések kibocsátására irányadó határidő elmulasztása</w:t>
            </w:r>
            <w:r w:rsidDel="00000000" w:rsidR="00000000" w:rsidRPr="00000000">
              <w:rPr>
                <w:rtl w:val="0"/>
              </w:rPr>
            </w:r>
          </w:p>
        </w:tc>
        <w:tc>
          <w:tcPr/>
          <w:p w:rsidR="00000000" w:rsidDel="00000000" w:rsidP="00000000" w:rsidRDefault="00000000" w:rsidRPr="00000000" w14:paraId="000000B4">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8.3</w:t>
            </w:r>
            <w:r w:rsidDel="00000000" w:rsidR="00000000" w:rsidRPr="00000000">
              <w:rPr>
                <w:rFonts w:ascii="Times New Roman" w:cs="Times New Roman" w:eastAsia="Times New Roman" w:hAnsi="Times New Roman"/>
                <w:b w:val="1"/>
                <w:bCs w:val="1"/>
                <w:sz w:val="22"/>
                <w:szCs w:val="22"/>
                <w:rtl w:val="0"/>
              </w:rPr>
              <w:tab/>
              <w:t xml:space="preserve">Failure to timely complete the issue of Conversion Shares</w:t>
            </w:r>
          </w:p>
        </w:tc>
      </w:tr>
      <w:tr>
        <w:trPr>
          <w:cantSplit w:val="0"/>
          <w:tblHeader w:val="0"/>
        </w:trPr>
        <w:tc>
          <w:tcPr/>
          <w:p w:rsidR="00000000" w:rsidDel="00000000" w:rsidP="00000000" w:rsidRDefault="00000000" w:rsidRPr="00000000" w14:paraId="000000B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 konvertálás a 8.2. pontban meghatározott határidőn belül nem valósul meg a Társaság vagy bármely Tag mulasztása miatt az ott rögzített intézkedések megtételében, a Befektető jogosult a Társaságtól a Befektető által nyújtott Kölcsön [0,1]%-ának megfelelő kötbér napi elszámolás szerinti megfizetését követelni a késedelem minden napjára. Amennyiben a konvertálás a 8.2. pontban meghatározott határidő lejártát követő 20 (húsz) munkanapon belül sem valósul meg, a késedelem okától függetlenül a Befektető jogosult a Szerződés felmondására, valamennyi Fél írásbeli értesítése mellett, valamint követelheti a Társaságtól a Fennálló Tartozás teljes összegének visszafizetését.</w:t>
            </w:r>
          </w:p>
        </w:tc>
        <w:tc>
          <w:tcPr/>
          <w:p w:rsidR="00000000" w:rsidDel="00000000" w:rsidP="00000000" w:rsidRDefault="00000000" w:rsidRPr="00000000" w14:paraId="000000B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conversion is not completed within the respective term stated in Section 8.2 because the Company or any of its shareholders has failed to take respective actions set forth in Section 8.2, the Investor shall have the right to request the Company to pay a contractual penalty to the Investor in the amount of [0.1]% of the Loan granted by the Investor per each day of delay. If the conversion has not been completed within 20 Business Days of the due date stated in Section 8.2, then, irrespective of the reason for such delay, the Investor shall have the right to cancel this Agreement by sending a notice to all Parties and request the Company to repay the Outstanding Debt to the Investor.</w:t>
            </w:r>
          </w:p>
        </w:tc>
      </w:tr>
      <w:tr>
        <w:trPr>
          <w:cantSplit w:val="0"/>
          <w:tblHeader w:val="0"/>
        </w:trPr>
        <w:tc>
          <w:tcPr/>
          <w:p w:rsidR="00000000" w:rsidDel="00000000" w:rsidP="00000000" w:rsidRDefault="00000000" w:rsidRPr="00000000" w14:paraId="000000B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8.4.</w:t>
              <w:tab/>
            </w:r>
            <w:r w:rsidDel="00000000" w:rsidR="00000000" w:rsidRPr="00000000">
              <w:rPr>
                <w:rFonts w:ascii="Times New Roman" w:cs="Times New Roman" w:eastAsia="Times New Roman" w:hAnsi="Times New Roman"/>
                <w:b w:val="1"/>
                <w:bCs w:val="1"/>
                <w:sz w:val="22"/>
                <w:szCs w:val="22"/>
                <w:rtl w:val="0"/>
              </w:rPr>
              <w:t xml:space="preserve">A Befektető kötelezettsége a megállapodásokhoz való csatlakozásra</w:t>
            </w:r>
            <w:r w:rsidDel="00000000" w:rsidR="00000000" w:rsidRPr="00000000">
              <w:rPr>
                <w:rtl w:val="0"/>
              </w:rPr>
            </w:r>
          </w:p>
        </w:tc>
        <w:tc>
          <w:tcPr/>
          <w:p w:rsidR="00000000" w:rsidDel="00000000" w:rsidP="00000000" w:rsidRDefault="00000000" w:rsidRPr="00000000" w14:paraId="000000B8">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8.4</w:t>
            </w:r>
            <w:r w:rsidDel="00000000" w:rsidR="00000000" w:rsidRPr="00000000">
              <w:rPr>
                <w:rFonts w:ascii="Times New Roman" w:cs="Times New Roman" w:eastAsia="Times New Roman" w:hAnsi="Times New Roman"/>
                <w:b w:val="1"/>
                <w:bCs w:val="1"/>
                <w:sz w:val="22"/>
                <w:szCs w:val="22"/>
                <w:rtl w:val="0"/>
              </w:rPr>
              <w:tab/>
              <w:t xml:space="preserve">Investor’s obligation to adhere to agreements</w:t>
            </w:r>
          </w:p>
        </w:tc>
      </w:tr>
      <w:tr>
        <w:trPr>
          <w:cantSplit w:val="0"/>
          <w:tblHeader w:val="0"/>
        </w:trPr>
        <w:tc>
          <w:tcPr/>
          <w:p w:rsidR="00000000" w:rsidDel="00000000" w:rsidP="00000000" w:rsidRDefault="00000000" w:rsidRPr="00000000" w14:paraId="000000B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 Fennálló Tartozás konvertálására Minősített Finanszírozás megvalósulása esetén kerül sor, a Befektető köteles – a Társaság kérésére – csatlakozni a Minősített Finanszírozáshoz kapcsolódó valamennyi tranzakciós dokumentumhoz, ideértve különösen a befektetési szerződéseket, tulajdonosi megállapodásokat és egyéb kapcsolódó dokumentumokat. Amennyiben a konvertálás Likviditási Esemény bekövetkezésekor történik, a Befektető köteles – a Társaság kérésére – csatlakozni az adott Likviditási Eseményhez kapcsolódó valamennyi tranzakciós dokumentumhoz, ideértve különösen a részesedés-adásvételi szerződéseket és hasonló megállapodásokat. Amennyiben a konvertálás a Lejáratkor történik, a Befektető köteles – a Társaság kérésére – csatlakozni egy új tulajdonosi megállapodáshoz, vagy egy már meglévő tulajdonosi megállapodáshoz. A Befektető jelen pont szerinti csatlakozási kötelezettsége azzal a feltétellel áll fenn, hogy az említett megállapodások biztosítják a Befektető számára a Szerződésben meghatározott jogokat és elsőbbségeket.</w:t>
            </w:r>
          </w:p>
        </w:tc>
        <w:tc>
          <w:tcPr/>
          <w:p w:rsidR="00000000" w:rsidDel="00000000" w:rsidP="00000000" w:rsidRDefault="00000000" w:rsidRPr="00000000" w14:paraId="000000B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Outstanding Debt is converted upon the occurrence of a Qualified Financing, the Investor shall, if requested by the Company, enter into all transaction documents relating to the Qualified Financing (which may include an investment agreement, shareholders’ agreement and ancillary documents). If the Outstanding Debt is converted upon the occurrence of a Liquidity Event, the Investor shall, if requested by the Company, enter into all transaction documents relating to such Liquidity Event (which may include a share purchase agreement or a similar agreement). If the Outstanding Debt is converted upon the Maturity Date the Investor shall, if requested by the Company, enter into a new shareholders’ agreement or adhere to an existing shareholders’ agreement. The Investor’s obligation to enter into any documents under this Section shall be conditional upon such documents providing the Investor with the rights and preferences set forth in this Agreement.</w:t>
            </w:r>
          </w:p>
        </w:tc>
      </w:tr>
      <w:tr>
        <w:trPr>
          <w:cantSplit w:val="0"/>
          <w:tblHeader w:val="0"/>
        </w:trPr>
        <w:tc>
          <w:tcPr/>
          <w:p w:rsidR="00000000" w:rsidDel="00000000" w:rsidP="00000000" w:rsidRDefault="00000000" w:rsidRPr="00000000" w14:paraId="000000BB">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9.</w:t>
              <w:tab/>
              <w:t xml:space="preserve">A BEFEKTETŐ TOVÁBBI JOGAI</w:t>
            </w:r>
          </w:p>
        </w:tc>
        <w:tc>
          <w:tcPr/>
          <w:p w:rsidR="00000000" w:rsidDel="00000000" w:rsidP="00000000" w:rsidRDefault="00000000" w:rsidRPr="00000000" w14:paraId="000000BC">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9.</w:t>
              <w:tab/>
              <w:t xml:space="preserve">INVESTOR’S ADDITIONAL RIGHTS</w:t>
            </w:r>
            <w:r w:rsidDel="00000000" w:rsidR="00000000" w:rsidRPr="00000000">
              <w:rPr>
                <w:rFonts w:ascii="Times New Roman" w:cs="Times New Roman" w:eastAsia="Times New Roman" w:hAnsi="Times New Roman"/>
                <w:b w:val="1"/>
                <w:bCs w:val="1"/>
                <w:sz w:val="22"/>
                <w:szCs w:val="22"/>
                <w:vertAlign w:val="superscript"/>
              </w:rPr>
              <w:footnoteReference w:customMarkFollows="0" w:id="17"/>
            </w:r>
            <w:r w:rsidDel="00000000" w:rsidR="00000000" w:rsidRPr="00000000">
              <w:rPr>
                <w:rtl w:val="0"/>
              </w:rPr>
            </w:r>
          </w:p>
        </w:tc>
      </w:tr>
      <w:tr>
        <w:trPr>
          <w:cantSplit w:val="0"/>
          <w:tblHeader w:val="0"/>
        </w:trPr>
        <w:tc>
          <w:tcPr/>
          <w:p w:rsidR="00000000" w:rsidDel="00000000" w:rsidP="00000000" w:rsidRDefault="00000000" w:rsidRPr="00000000" w14:paraId="000000BD">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9.1</w:t>
            </w:r>
            <w:r w:rsidDel="00000000" w:rsidR="00000000" w:rsidRPr="00000000">
              <w:rPr>
                <w:rFonts w:ascii="Times New Roman" w:cs="Times New Roman" w:eastAsia="Times New Roman" w:hAnsi="Times New Roman"/>
                <w:b w:val="1"/>
                <w:bCs w:val="1"/>
                <w:sz w:val="22"/>
                <w:szCs w:val="22"/>
                <w:rtl w:val="0"/>
              </w:rPr>
              <w:tab/>
              <w:t xml:space="preserve">Tájékoztatási jogok</w:t>
            </w:r>
          </w:p>
        </w:tc>
        <w:tc>
          <w:tcPr/>
          <w:p w:rsidR="00000000" w:rsidDel="00000000" w:rsidP="00000000" w:rsidRDefault="00000000" w:rsidRPr="00000000" w14:paraId="000000BE">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9.1</w:t>
            </w:r>
            <w:r w:rsidDel="00000000" w:rsidR="00000000" w:rsidRPr="00000000">
              <w:rPr>
                <w:rFonts w:ascii="Times New Roman" w:cs="Times New Roman" w:eastAsia="Times New Roman" w:hAnsi="Times New Roman"/>
                <w:b w:val="1"/>
                <w:bCs w:val="1"/>
                <w:sz w:val="22"/>
                <w:szCs w:val="22"/>
                <w:rtl w:val="0"/>
              </w:rPr>
              <w:tab/>
              <w:t xml:space="preserve">Information rights</w:t>
            </w:r>
          </w:p>
        </w:tc>
      </w:tr>
      <w:tr>
        <w:trPr>
          <w:cantSplit w:val="0"/>
          <w:tblHeader w:val="0"/>
        </w:trPr>
        <w:tc>
          <w:tcPr/>
          <w:p w:rsidR="00000000" w:rsidDel="00000000" w:rsidP="00000000" w:rsidRDefault="00000000" w:rsidRPr="00000000" w14:paraId="000000B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ALTERNATÍVA: A Társaság köteles a Befektető részére is megküldeni azokat a beszámolókat, jelentéseket és egyéb dokumentumokat, amelyeket a többi tulajdonosnak is megküld, azokkal egyidejűleg.]  </w:t>
            </w:r>
          </w:p>
        </w:tc>
        <w:tc>
          <w:tcPr/>
          <w:p w:rsidR="00000000" w:rsidDel="00000000" w:rsidP="00000000" w:rsidRDefault="00000000" w:rsidRPr="00000000" w14:paraId="000000C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[OPTION 1: The Company shall deliver to the Investor the same reports, updates and other documents that it delivers to any of its shareholders at the same time with their delivery to any such shareholders</w:t>
            </w:r>
            <w:r w:rsidDel="00000000" w:rsidR="00000000" w:rsidRPr="00000000">
              <w:rPr>
                <w:rFonts w:ascii="Times New Roman" w:cs="Times New Roman" w:eastAsia="Times New Roman" w:hAnsi="Times New Roman"/>
                <w:sz w:val="22"/>
                <w:szCs w:val="22"/>
                <w:vertAlign w:val="superscript"/>
              </w:rPr>
              <w:footnoteReference w:customMarkFollows="0" w:id="18"/>
            </w:r>
            <w:r w:rsidDel="00000000" w:rsidR="00000000" w:rsidRPr="00000000">
              <w:rPr>
                <w:rFonts w:ascii="Times New Roman" w:cs="Times New Roman" w:eastAsia="Times New Roman" w:hAnsi="Times New Roman"/>
                <w:sz w:val="22"/>
                <w:szCs w:val="22"/>
                <w:rtl w:val="0"/>
              </w:rPr>
              <w:t xml:space="preserve">.]</w:t>
            </w:r>
          </w:p>
        </w:tc>
      </w:tr>
      <w:tr>
        <w:trPr>
          <w:cantSplit w:val="0"/>
          <w:tblHeader w:val="0"/>
        </w:trPr>
        <w:tc>
          <w:tcPr/>
          <w:p w:rsidR="00000000" w:rsidDel="00000000" w:rsidP="00000000" w:rsidRDefault="00000000" w:rsidRPr="00000000" w14:paraId="000000C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ALTERNATÍVA: A Társaság köteles a Befektető részére megküldeni:</w:t>
            </w:r>
          </w:p>
        </w:tc>
        <w:tc>
          <w:tcPr/>
          <w:p w:rsidR="00000000" w:rsidDel="00000000" w:rsidP="00000000" w:rsidRDefault="00000000" w:rsidRPr="00000000" w14:paraId="000000C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[OPTION 2: The Company shall deliver to the Investor</w:t>
            </w:r>
          </w:p>
        </w:tc>
      </w:tr>
      <w:tr>
        <w:trPr>
          <w:cantSplit w:val="0"/>
          <w:tblHeader w:val="0"/>
        </w:trPr>
        <w:tc>
          <w:tcPr/>
          <w:p w:rsidR="00000000" w:rsidDel="00000000" w:rsidP="00000000" w:rsidRDefault="00000000" w:rsidRPr="00000000" w14:paraId="000000C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r w:rsidDel="00000000" w:rsidR="00000000" w:rsidRPr="00000000">
              <w:rPr>
                <w:rFonts w:ascii="Times New Roman" w:cs="Times New Roman" w:eastAsia="Times New Roman" w:hAnsi="Times New Roman"/>
                <w:b w:val="1"/>
                <w:bCs w:val="1"/>
                <w:sz w:val="22"/>
                <w:szCs w:val="22"/>
                <w:rtl w:val="0"/>
              </w:rPr>
              <w:t xml:space="preserve"> </w:t>
              <w:tab/>
            </w:r>
            <w:r w:rsidDel="00000000" w:rsidR="00000000" w:rsidRPr="00000000">
              <w:rPr>
                <w:rFonts w:ascii="Times New Roman" w:cs="Times New Roman" w:eastAsia="Times New Roman" w:hAnsi="Times New Roman"/>
                <w:sz w:val="22"/>
                <w:szCs w:val="22"/>
                <w:rtl w:val="0"/>
              </w:rPr>
              <w:t xml:space="preserve">havi beszámolókat a pénzügyekről, a kulcsfontosságú teljesítménymutatókról (KPI) és egyéb mérőszámokról, a Befektetői Többség által jóváhagyott formátumban – minden hónap végétől számított 15 napon belül;</w:t>
            </w:r>
          </w:p>
        </w:tc>
        <w:tc>
          <w:tcPr/>
          <w:p w:rsidR="00000000" w:rsidDel="00000000" w:rsidP="00000000" w:rsidRDefault="00000000" w:rsidRPr="00000000" w14:paraId="000000C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r w:rsidDel="00000000" w:rsidR="00000000" w:rsidRPr="00000000">
              <w:rPr>
                <w:rFonts w:ascii="Times New Roman" w:cs="Times New Roman" w:eastAsia="Times New Roman" w:hAnsi="Times New Roman"/>
                <w:b w:val="1"/>
                <w:bCs w:val="1"/>
                <w:sz w:val="22"/>
                <w:szCs w:val="22"/>
                <w:rtl w:val="0"/>
              </w:rPr>
              <w:t xml:space="preserve"> </w:t>
              <w:tab/>
            </w:r>
            <w:r w:rsidDel="00000000" w:rsidR="00000000" w:rsidRPr="00000000">
              <w:rPr>
                <w:rFonts w:ascii="Times New Roman" w:cs="Times New Roman" w:eastAsia="Times New Roman" w:hAnsi="Times New Roman"/>
                <w:sz w:val="22"/>
                <w:szCs w:val="22"/>
                <w:rtl w:val="0"/>
              </w:rPr>
              <w:t xml:space="preserve">monthly reports about financials, KPIs and other metrics in the format approved by the Investor Majority - within 15 days of the end of each month;</w:t>
            </w:r>
          </w:p>
        </w:tc>
      </w:tr>
      <w:tr>
        <w:trPr>
          <w:cantSplit w:val="0"/>
          <w:tblHeader w:val="0"/>
        </w:trPr>
        <w:tc>
          <w:tcPr/>
          <w:p w:rsidR="00000000" w:rsidDel="00000000" w:rsidP="00000000" w:rsidRDefault="00000000" w:rsidRPr="00000000" w14:paraId="000000C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r w:rsidDel="00000000" w:rsidR="00000000" w:rsidRPr="00000000">
              <w:rPr>
                <w:rFonts w:ascii="Times New Roman" w:cs="Times New Roman" w:eastAsia="Times New Roman" w:hAnsi="Times New Roman"/>
                <w:b w:val="1"/>
                <w:bCs w:val="1"/>
                <w:sz w:val="22"/>
                <w:szCs w:val="22"/>
                <w:rtl w:val="0"/>
              </w:rPr>
              <w:t xml:space="preserve"> </w:t>
              <w:tab/>
            </w:r>
            <w:r w:rsidDel="00000000" w:rsidR="00000000" w:rsidRPr="00000000">
              <w:rPr>
                <w:rFonts w:ascii="Times New Roman" w:cs="Times New Roman" w:eastAsia="Times New Roman" w:hAnsi="Times New Roman"/>
                <w:sz w:val="22"/>
                <w:szCs w:val="22"/>
                <w:rtl w:val="0"/>
              </w:rPr>
              <w:t xml:space="preserve">éves pénzügyi beszámolókat – minden pénzügyi év végétől számított három hónapon belül; és</w:t>
            </w:r>
          </w:p>
        </w:tc>
        <w:tc>
          <w:tcPr/>
          <w:p w:rsidR="00000000" w:rsidDel="00000000" w:rsidP="00000000" w:rsidRDefault="00000000" w:rsidRPr="00000000" w14:paraId="000000C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r w:rsidDel="00000000" w:rsidR="00000000" w:rsidRPr="00000000">
              <w:rPr>
                <w:rFonts w:ascii="Times New Roman" w:cs="Times New Roman" w:eastAsia="Times New Roman" w:hAnsi="Times New Roman"/>
                <w:b w:val="1"/>
                <w:bCs w:val="1"/>
                <w:sz w:val="22"/>
                <w:szCs w:val="22"/>
                <w:rtl w:val="0"/>
              </w:rPr>
              <w:t xml:space="preserve"> </w:t>
              <w:tab/>
            </w:r>
            <w:r w:rsidDel="00000000" w:rsidR="00000000" w:rsidRPr="00000000">
              <w:rPr>
                <w:rFonts w:ascii="Times New Roman" w:cs="Times New Roman" w:eastAsia="Times New Roman" w:hAnsi="Times New Roman"/>
                <w:sz w:val="22"/>
                <w:szCs w:val="22"/>
                <w:rtl w:val="0"/>
              </w:rPr>
              <w:t xml:space="preserve">annual financial statements - within three months of the end of each financial year and</w:t>
            </w:r>
          </w:p>
        </w:tc>
      </w:tr>
      <w:tr>
        <w:trPr>
          <w:cantSplit w:val="0"/>
          <w:tblHeader w:val="0"/>
        </w:trPr>
        <w:tc>
          <w:tcPr/>
          <w:p w:rsidR="00000000" w:rsidDel="00000000" w:rsidP="00000000" w:rsidRDefault="00000000" w:rsidRPr="00000000" w14:paraId="000000C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r w:rsidDel="00000000" w:rsidR="00000000" w:rsidRPr="00000000">
              <w:rPr>
                <w:rFonts w:ascii="Times New Roman" w:cs="Times New Roman" w:eastAsia="Times New Roman" w:hAnsi="Times New Roman"/>
                <w:b w:val="1"/>
                <w:bCs w:val="1"/>
                <w:sz w:val="22"/>
                <w:szCs w:val="22"/>
                <w:rtl w:val="0"/>
              </w:rPr>
              <w:t xml:space="preserve"> </w:t>
              <w:tab/>
            </w:r>
            <w:r w:rsidDel="00000000" w:rsidR="00000000" w:rsidRPr="00000000">
              <w:rPr>
                <w:rFonts w:ascii="Times New Roman" w:cs="Times New Roman" w:eastAsia="Times New Roman" w:hAnsi="Times New Roman"/>
                <w:sz w:val="22"/>
                <w:szCs w:val="22"/>
                <w:rtl w:val="0"/>
              </w:rPr>
              <w:t xml:space="preserve">tájékoztatást a Társaság Tevékenységére jelentős hátrányos hatással bíró eseményekről és körülményekről, kitérve a Társaság által megtett vagy tervezett intézkedésekre – a lehető leghamarabb.]</w:t>
            </w:r>
          </w:p>
        </w:tc>
        <w:tc>
          <w:tcPr/>
          <w:p w:rsidR="00000000" w:rsidDel="00000000" w:rsidP="00000000" w:rsidRDefault="00000000" w:rsidRPr="00000000" w14:paraId="000000C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r w:rsidDel="00000000" w:rsidR="00000000" w:rsidRPr="00000000">
              <w:rPr>
                <w:rFonts w:ascii="Times New Roman" w:cs="Times New Roman" w:eastAsia="Times New Roman" w:hAnsi="Times New Roman"/>
                <w:b w:val="1"/>
                <w:bCs w:val="1"/>
                <w:sz w:val="22"/>
                <w:szCs w:val="22"/>
                <w:rtl w:val="0"/>
              </w:rPr>
              <w:t xml:space="preserve"> </w:t>
              <w:tab/>
            </w:r>
            <w:r w:rsidDel="00000000" w:rsidR="00000000" w:rsidRPr="00000000">
              <w:rPr>
                <w:rFonts w:ascii="Times New Roman" w:cs="Times New Roman" w:eastAsia="Times New Roman" w:hAnsi="Times New Roman"/>
                <w:sz w:val="22"/>
                <w:szCs w:val="22"/>
                <w:rtl w:val="0"/>
              </w:rPr>
              <w:t xml:space="preserve">information on events and circumstances that may have a material adverse effect on the Business specifying actions taken or proposed by the Company - as soon as possible.</w:t>
            </w:r>
            <w:r w:rsidDel="00000000" w:rsidR="00000000" w:rsidRPr="00000000">
              <w:rPr>
                <w:rFonts w:ascii="Times New Roman" w:cs="Times New Roman" w:eastAsia="Times New Roman" w:hAnsi="Times New Roman"/>
                <w:sz w:val="22"/>
                <w:szCs w:val="22"/>
                <w:vertAlign w:val="superscript"/>
              </w:rPr>
              <w:footnoteReference w:customMarkFollows="0" w:id="19"/>
            </w:r>
            <w:r w:rsidDel="00000000" w:rsidR="00000000" w:rsidRPr="00000000">
              <w:rPr>
                <w:rFonts w:ascii="Times New Roman" w:cs="Times New Roman" w:eastAsia="Times New Roman" w:hAnsi="Times New Roman"/>
                <w:sz w:val="22"/>
                <w:szCs w:val="22"/>
                <w:rtl w:val="0"/>
              </w:rPr>
              <w:t xml:space="preserve"> ]</w:t>
            </w:r>
          </w:p>
        </w:tc>
      </w:tr>
      <w:tr>
        <w:trPr>
          <w:cantSplit w:val="0"/>
          <w:tblHeader w:val="0"/>
        </w:trPr>
        <w:tc>
          <w:tcPr/>
          <w:p w:rsidR="00000000" w:rsidDel="00000000" w:rsidP="00000000" w:rsidRDefault="00000000" w:rsidRPr="00000000" w14:paraId="000000C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Ezen túlmenően a Társaság köteles a Befektető ésszerű kérésére biztosítani, hogy a Befektető és szakmai tanácsadói megvizsgálhassák a Társaság dokumentumait, valamint egyeztethessenek a Társaság vezetőségével annak Tevékenységéről, pénzügyi helyzetéről, vállalati ügyeiről és jövőbeli terveiről, a Befektető által előre megjelölt időpontokban.</w:t>
            </w:r>
          </w:p>
        </w:tc>
        <w:tc>
          <w:tcPr/>
          <w:p w:rsidR="00000000" w:rsidDel="00000000" w:rsidP="00000000" w:rsidRDefault="00000000" w:rsidRPr="00000000" w14:paraId="000000C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addition, the Company shall, upon the reasonable request of the Investor, allow the Investor and its professional advisors to examine its documents and to discuss the Company’s business, finances, corporate affairs and future plans with its management, all at such reasonable times as may be requested by the Investor.</w:t>
            </w:r>
          </w:p>
        </w:tc>
      </w:tr>
      <w:tr>
        <w:trPr>
          <w:cantSplit w:val="0"/>
          <w:tblHeader w:val="0"/>
        </w:trPr>
        <w:tc>
          <w:tcPr/>
          <w:p w:rsidR="00000000" w:rsidDel="00000000" w:rsidP="00000000" w:rsidRDefault="00000000" w:rsidRPr="00000000" w14:paraId="000000CB">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9.2.</w:t>
            </w:r>
            <w:r w:rsidDel="00000000" w:rsidR="00000000" w:rsidRPr="00000000">
              <w:rPr>
                <w:rFonts w:ascii="Times New Roman" w:cs="Times New Roman" w:eastAsia="Times New Roman" w:hAnsi="Times New Roman"/>
                <w:b w:val="1"/>
                <w:bCs w:val="1"/>
                <w:sz w:val="22"/>
                <w:szCs w:val="22"/>
                <w:rtl w:val="0"/>
              </w:rPr>
              <w:tab/>
              <w:t xml:space="preserve">Részvételi jogok</w:t>
            </w:r>
          </w:p>
        </w:tc>
        <w:tc>
          <w:tcPr/>
          <w:p w:rsidR="00000000" w:rsidDel="00000000" w:rsidP="00000000" w:rsidRDefault="00000000" w:rsidRPr="00000000" w14:paraId="000000CC">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9.2</w:t>
            </w:r>
            <w:r w:rsidDel="00000000" w:rsidR="00000000" w:rsidRPr="00000000">
              <w:rPr>
                <w:rFonts w:ascii="Times New Roman" w:cs="Times New Roman" w:eastAsia="Times New Roman" w:hAnsi="Times New Roman"/>
                <w:b w:val="1"/>
                <w:bCs w:val="1"/>
                <w:sz w:val="22"/>
                <w:szCs w:val="22"/>
                <w:rtl w:val="0"/>
              </w:rPr>
              <w:tab/>
              <w:t xml:space="preserve">Participation rights</w:t>
            </w:r>
          </w:p>
        </w:tc>
      </w:tr>
      <w:tr>
        <w:trPr>
          <w:cantSplit w:val="0"/>
          <w:tblHeader w:val="0"/>
        </w:trPr>
        <w:tc>
          <w:tcPr/>
          <w:p w:rsidR="00000000" w:rsidDel="00000000" w:rsidP="00000000" w:rsidRDefault="00000000" w:rsidRPr="00000000" w14:paraId="000000C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Mindaddig, amíg – ideértve a Minősített Finanszírozás zárásáig is – a Társaság részesedés kibocsátását tervezi tőkebevonási céllal („</w:t>
            </w:r>
            <w:r w:rsidDel="00000000" w:rsidR="00000000" w:rsidRPr="00000000">
              <w:rPr>
                <w:rFonts w:ascii="Times New Roman" w:cs="Times New Roman" w:eastAsia="Times New Roman" w:hAnsi="Times New Roman"/>
                <w:b w:val="1"/>
                <w:bCs w:val="1"/>
                <w:sz w:val="22"/>
                <w:szCs w:val="22"/>
                <w:rtl w:val="0"/>
              </w:rPr>
              <w:t xml:space="preserve">Releváns Finanszírozás</w:t>
            </w:r>
            <w:r w:rsidDel="00000000" w:rsidR="00000000" w:rsidRPr="00000000">
              <w:rPr>
                <w:rFonts w:ascii="Times New Roman" w:cs="Times New Roman" w:eastAsia="Times New Roman" w:hAnsi="Times New Roman"/>
                <w:sz w:val="22"/>
                <w:szCs w:val="22"/>
                <w:rtl w:val="0"/>
              </w:rPr>
              <w:t xml:space="preserve">”), a Társaság köteles a Befektetőt értesíteni az adott tranzakcióról, annak áráról és feltételeiről. A Befektető jogosult, de nem köteles részt venni az adott finanszírozásban a többi befektetővel azonos feltételek és ár mellett, valamint jogosult annyi további részesedést megszerezni, amely révén a Releváns Finanszírozást követően a Társaságban lévő százalékos részesedése megegyezik azzal a százalékos részesedési aránnyal, amellyel a teljesen hígított alapon rendelkezne, ha a Fennálló Tartozása a Releváns Finanszírozás előtt a legalacsonyabb potenciálisan alkalmazható konvertálási áron konvertálásra került volna. A Társaság köteles megtenni, és a tulajdonosaitól is megkövetelni minden olyan intézkedést, amely szükséges a jelen 9.2. pont rendelkezéseinek teljes körű végrehajtásához.</w:t>
            </w:r>
          </w:p>
        </w:tc>
        <w:tc>
          <w:tcPr/>
          <w:p w:rsidR="00000000" w:rsidDel="00000000" w:rsidP="00000000" w:rsidRDefault="00000000" w:rsidRPr="00000000" w14:paraId="000000C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Each time until and including the closing of a Qualified Financing the Company proposes to issue Shares with the principal purpose of raising financing (the “</w:t>
            </w:r>
            <w:r w:rsidDel="00000000" w:rsidR="00000000" w:rsidRPr="00000000">
              <w:rPr>
                <w:rFonts w:ascii="Times New Roman" w:cs="Times New Roman" w:eastAsia="Times New Roman" w:hAnsi="Times New Roman"/>
                <w:b w:val="1"/>
                <w:bCs w:val="1"/>
                <w:sz w:val="22"/>
                <w:szCs w:val="22"/>
                <w:rtl w:val="0"/>
              </w:rPr>
              <w:t xml:space="preserve">Relevant Financing</w:t>
            </w:r>
            <w:r w:rsidDel="00000000" w:rsidR="00000000" w:rsidRPr="00000000">
              <w:rPr>
                <w:rFonts w:ascii="Times New Roman" w:cs="Times New Roman" w:eastAsia="Times New Roman" w:hAnsi="Times New Roman"/>
                <w:sz w:val="22"/>
                <w:szCs w:val="22"/>
                <w:rtl w:val="0"/>
              </w:rPr>
              <w:t xml:space="preserve">”), the Company shall provide the Investor with a notice about the transaction in question, its price and terms and the Investor shall have the right, but not the obligation, to participate in such transaction on the same terms and for the same price as all other investors, and to acquire up to such number of additional Shares that would result in such Investor’s percentage shareholding in the Company after the Relevant Financing being equal to the percentage shareholding it would have on a fully diluted basis if the Outstanding Debt of such Investor had converted prior to the Relevant Financing at the lowest potentially applicable conversion price. The Company shall take, and shall procure that its shareholders take, all actions to fully implement the provisions of this Section 9.2.</w:t>
            </w:r>
          </w:p>
        </w:tc>
      </w:tr>
      <w:tr>
        <w:trPr>
          <w:cantSplit w:val="0"/>
          <w:tblHeader w:val="0"/>
        </w:trPr>
        <w:tc>
          <w:tcPr/>
          <w:p w:rsidR="00000000" w:rsidDel="00000000" w:rsidP="00000000" w:rsidRDefault="00000000" w:rsidRPr="00000000" w14:paraId="000000CF">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9.3.</w:t>
            </w:r>
            <w:r w:rsidDel="00000000" w:rsidR="00000000" w:rsidRPr="00000000">
              <w:rPr>
                <w:rFonts w:ascii="Times New Roman" w:cs="Times New Roman" w:eastAsia="Times New Roman" w:hAnsi="Times New Roman"/>
                <w:b w:val="1"/>
                <w:bCs w:val="1"/>
                <w:sz w:val="22"/>
                <w:szCs w:val="22"/>
                <w:rtl w:val="0"/>
              </w:rPr>
              <w:tab/>
              <w:t xml:space="preserve">[OPCIONÁLIS: Legkedvezőbb feltétel elve</w:t>
            </w:r>
          </w:p>
        </w:tc>
        <w:tc>
          <w:tcPr/>
          <w:p w:rsidR="00000000" w:rsidDel="00000000" w:rsidP="00000000" w:rsidRDefault="00000000" w:rsidRPr="00000000" w14:paraId="000000D0">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9.3</w:t>
            </w:r>
            <w:r w:rsidDel="00000000" w:rsidR="00000000" w:rsidRPr="00000000">
              <w:rPr>
                <w:rFonts w:ascii="Times New Roman" w:cs="Times New Roman" w:eastAsia="Times New Roman" w:hAnsi="Times New Roman"/>
                <w:b w:val="1"/>
                <w:bCs w:val="1"/>
                <w:sz w:val="22"/>
                <w:szCs w:val="22"/>
                <w:rtl w:val="0"/>
              </w:rPr>
              <w:tab/>
              <w:t xml:space="preserve">[OPTIONAL: Most favoured nation</w:t>
            </w:r>
            <w:r w:rsidDel="00000000" w:rsidR="00000000" w:rsidRPr="00000000">
              <w:rPr>
                <w:rFonts w:ascii="Times New Roman" w:cs="Times New Roman" w:eastAsia="Times New Roman" w:hAnsi="Times New Roman"/>
                <w:b w:val="1"/>
                <w:bCs w:val="1"/>
                <w:sz w:val="22"/>
                <w:szCs w:val="22"/>
                <w:vertAlign w:val="superscript"/>
              </w:rPr>
              <w:footnoteReference w:customMarkFollows="0" w:id="20"/>
            </w:r>
            <w:r w:rsidDel="00000000" w:rsidR="00000000" w:rsidRPr="00000000">
              <w:rPr>
                <w:rFonts w:ascii="Times New Roman" w:cs="Times New Roman" w:eastAsia="Times New Roman" w:hAnsi="Times New Roman"/>
                <w:b w:val="1"/>
                <w:bCs w:val="1"/>
                <w:sz w:val="22"/>
                <w:szCs w:val="22"/>
                <w:rtl w:val="0"/>
              </w:rPr>
              <w:t xml:space="preserve">    </w:t>
            </w:r>
          </w:p>
        </w:tc>
      </w:tr>
      <w:tr>
        <w:trPr>
          <w:cantSplit w:val="0"/>
          <w:tblHeader w:val="0"/>
        </w:trPr>
        <w:tc>
          <w:tcPr/>
          <w:p w:rsidR="00000000" w:rsidDel="00000000" w:rsidP="00000000" w:rsidRDefault="00000000" w:rsidRPr="00000000" w14:paraId="000000D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 Társaság a Fennálló Tartozás teljes konvertálását vagy visszafizetését megelőzően bármikor konvertálható kölcsönszerződést köt, vagy konvertálható kötvényeket, jegyeket vagy hasonló instrumentumokat bocsát ki (ide nem értve a Társaság munkavállalói és szolgáltatói részére adott opciókat), a Társaság köteles ezen megállapodásokról vagy eszközökről a Befektetőt legkésőbb azok zárását követő öt (5) munkanapon belül értesíteni, megjelölve az árát és minden feltételét (a továbbiakban: „</w:t>
            </w:r>
            <w:r w:rsidDel="00000000" w:rsidR="00000000" w:rsidRPr="00000000">
              <w:rPr>
                <w:rFonts w:ascii="Times New Roman" w:cs="Times New Roman" w:eastAsia="Times New Roman" w:hAnsi="Times New Roman"/>
                <w:b w:val="1"/>
                <w:bCs w:val="1"/>
                <w:sz w:val="22"/>
                <w:szCs w:val="22"/>
                <w:rtl w:val="0"/>
              </w:rPr>
              <w:t xml:space="preserve">Utólagos Instrumentumok</w:t>
            </w:r>
            <w:r w:rsidDel="00000000" w:rsidR="00000000" w:rsidRPr="00000000">
              <w:rPr>
                <w:rFonts w:ascii="Times New Roman" w:cs="Times New Roman" w:eastAsia="Times New Roman" w:hAnsi="Times New Roman"/>
                <w:sz w:val="22"/>
                <w:szCs w:val="22"/>
                <w:rtl w:val="0"/>
              </w:rPr>
              <w:t xml:space="preserve">”). Ha a Befektető saját belátása szerint úgy ítéli meg, hogy bármely Utólagos Instrumentum a birtokosai számára a Szerződésben foglaltaknál kedvezőbb feltételeket tartalmaz, dönthet úgy, hogy a Szerződést az érintett feltételeknek megfelelően módosítják. Ebben az esetben valamennyi Fél köteles megtenni minden szükséges intézkedést a Szerződés módosítására és a vonatkozó feltételek beillesztésére.</w:t>
            </w:r>
          </w:p>
        </w:tc>
        <w:tc>
          <w:tcPr/>
          <w:p w:rsidR="00000000" w:rsidDel="00000000" w:rsidP="00000000" w:rsidRDefault="00000000" w:rsidRPr="00000000" w14:paraId="000000D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the Company enters into any convertible loan agreement or issues any convertible notes, bonds or similar instruments (other than options to employees and service providers of the Company) at any time prior to the full conversion or repayment of the Outstanding Debt, the Company shall provide the Investor with notice of such agreements or instruments no later than 5 Business Days after the closing of the same, including the price and all terms of such agreements or instruments (the “</w:t>
            </w:r>
            <w:r w:rsidDel="00000000" w:rsidR="00000000" w:rsidRPr="00000000">
              <w:rPr>
                <w:rFonts w:ascii="Times New Roman" w:cs="Times New Roman" w:eastAsia="Times New Roman" w:hAnsi="Times New Roman"/>
                <w:b w:val="1"/>
                <w:bCs w:val="1"/>
                <w:sz w:val="22"/>
                <w:szCs w:val="22"/>
                <w:rtl w:val="0"/>
              </w:rPr>
              <w:t xml:space="preserve">Subsequent Instruments</w:t>
            </w:r>
            <w:r w:rsidDel="00000000" w:rsidR="00000000" w:rsidRPr="00000000">
              <w:rPr>
                <w:rFonts w:ascii="Times New Roman" w:cs="Times New Roman" w:eastAsia="Times New Roman" w:hAnsi="Times New Roman"/>
                <w:sz w:val="22"/>
                <w:szCs w:val="22"/>
                <w:rtl w:val="0"/>
              </w:rPr>
              <w:t xml:space="preserve">”). If the Investor determines, in its sole discretion, that any Subsequent Instrument contains terms more favourable to the holder(s) thereof than the terms set forth in this Agreement, the Investor may elect to have such terms included in this Agreement in which case all Parties shall take all actions to amend this Agreement and include the respective terms.]</w:t>
            </w:r>
          </w:p>
        </w:tc>
      </w:tr>
      <w:tr>
        <w:trPr>
          <w:cantSplit w:val="0"/>
          <w:tblHeader w:val="0"/>
        </w:trPr>
        <w:tc>
          <w:tcPr/>
          <w:p w:rsidR="00000000" w:rsidDel="00000000" w:rsidP="00000000" w:rsidRDefault="00000000" w:rsidRPr="00000000" w14:paraId="000000D3">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10.</w:t>
              <w:tab/>
              <w:t xml:space="preserve">KÉPVISELET ÉS SZAVATOSSÁG VÁLALLÁSOK</w:t>
            </w:r>
          </w:p>
        </w:tc>
        <w:tc>
          <w:tcPr/>
          <w:p w:rsidR="00000000" w:rsidDel="00000000" w:rsidP="00000000" w:rsidRDefault="00000000" w:rsidRPr="00000000" w14:paraId="000000D4">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10.</w:t>
              <w:tab/>
              <w:t xml:space="preserve">REPRESENTATIONS AND WARRANTIES</w:t>
            </w:r>
          </w:p>
        </w:tc>
      </w:tr>
      <w:tr>
        <w:trPr>
          <w:cantSplit w:val="0"/>
          <w:tblHeader w:val="0"/>
        </w:trPr>
        <w:tc>
          <w:tcPr/>
          <w:p w:rsidR="00000000" w:rsidDel="00000000" w:rsidP="00000000" w:rsidRDefault="00000000" w:rsidRPr="00000000" w14:paraId="000000D5">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10.1.</w:t>
            </w:r>
            <w:r w:rsidDel="00000000" w:rsidR="00000000" w:rsidRPr="00000000">
              <w:rPr>
                <w:rFonts w:ascii="Times New Roman" w:cs="Times New Roman" w:eastAsia="Times New Roman" w:hAnsi="Times New Roman"/>
                <w:b w:val="1"/>
                <w:bCs w:val="1"/>
                <w:sz w:val="22"/>
                <w:szCs w:val="22"/>
                <w:rtl w:val="0"/>
              </w:rPr>
              <w:t xml:space="preserve"> </w:t>
              <w:tab/>
              <w:t xml:space="preserve">Valamennyi Fél szavatosság vállalásai</w:t>
            </w:r>
          </w:p>
        </w:tc>
        <w:tc>
          <w:tcPr/>
          <w:p w:rsidR="00000000" w:rsidDel="00000000" w:rsidP="00000000" w:rsidRDefault="00000000" w:rsidRPr="00000000" w14:paraId="000000D6">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10.1</w:t>
            </w:r>
            <w:r w:rsidDel="00000000" w:rsidR="00000000" w:rsidRPr="00000000">
              <w:rPr>
                <w:rFonts w:ascii="Times New Roman" w:cs="Times New Roman" w:eastAsia="Times New Roman" w:hAnsi="Times New Roman"/>
                <w:b w:val="1"/>
                <w:bCs w:val="1"/>
                <w:sz w:val="22"/>
                <w:szCs w:val="22"/>
                <w:rtl w:val="0"/>
              </w:rPr>
              <w:tab/>
              <w:t xml:space="preserve">Representations and warranties of all Parties</w:t>
            </w:r>
          </w:p>
        </w:tc>
      </w:tr>
      <w:tr>
        <w:trPr>
          <w:cantSplit w:val="0"/>
          <w:tblHeader w:val="0"/>
        </w:trPr>
        <w:tc>
          <w:tcPr/>
          <w:p w:rsidR="00000000" w:rsidDel="00000000" w:rsidP="00000000" w:rsidRDefault="00000000" w:rsidRPr="00000000" w14:paraId="000000D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Minden Fél ezennel kijelenti és szavatolja a többi Fél felé, hogy: (a) az adott Fél teljeskörű jogosultsággal rendelkezik a Szerződés megkötésére és teljesítésére, és képviselője (amennyiben van) rendelkezik a Szerződés megkötéséhez szükséges minden jogosultsággal és felhatalmazással; (b) a Szerződés megkötése és teljesítése semmilyen tekintetben nem sérti: (i) az adott Fél létesítő okiratát vagy más, hasonló szabályozó dokumentumát; (ii) bármely, az adott Félre vonatkozó jogszabályt; (iii) bármely, az adott Félre kötelező megállapodást vagy kötelezettséget; (iv) bármely bírósági, kormányzati vagy helyi hatósági ítéletet, végzést, tiltó határozatot vagy rendeletet, amely az adott Felet kötelezi; (v) az adott Félnek adott bármely engedély vagy jogosítvány feltételeit; (c) az adott Fél ellen nem folyik semmilyen vonatkozó joghatóság szerinti csődeljárás, szerkezetátalakítási, felszámolási, végrehajtási vagy bármely más hasonló eljárás, és az adott Fél nem kapott értesítést arra vonatkozó szándékról, hogy ilyen eljárást indítanának ellene.</w:t>
            </w:r>
          </w:p>
        </w:tc>
        <w:tc>
          <w:tcPr/>
          <w:p w:rsidR="00000000" w:rsidDel="00000000" w:rsidP="00000000" w:rsidRDefault="00000000" w:rsidRPr="00000000" w14:paraId="000000D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Each Party hereby represents and warrants to the other Parties that (a) such Party has full authority to enter into and perform this Agreement and its representative (if applicable) has all rights and approvals to enter into this Agreement; and (b) neither the entry into nor the performance of this Agreement results in a violation of any provisions of: (i) the articles of association of or any other similar document governing such Party; (ii) any legal acts to which such Party is subject; (iii) any agreement or obligation binding on such Party; (iv) any judgment, order, injunction, decree or ruling of any court or governmental or local authority to which such Party is subject; (v) the terms and conditions of any licence or permit granted to such Party; and (c) no bankruptcy petition, corporate restructuring application, liquidation application, execution application, or any other similar action under any applicable jurisdiction has been filed against such Party; such Party is not subject to any other insolvency, corporate restructuring or similar proceedings; such Party has not received any notice regarding any intention to initiate any such proceedings.</w:t>
            </w:r>
          </w:p>
        </w:tc>
      </w:tr>
      <w:tr>
        <w:trPr>
          <w:cantSplit w:val="0"/>
          <w:tblHeader w:val="0"/>
        </w:trPr>
        <w:tc>
          <w:tcPr/>
          <w:p w:rsidR="00000000" w:rsidDel="00000000" w:rsidP="00000000" w:rsidRDefault="00000000" w:rsidRPr="00000000" w14:paraId="000000D9">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10.2.</w:t>
            </w:r>
            <w:r w:rsidDel="00000000" w:rsidR="00000000" w:rsidRPr="00000000">
              <w:rPr>
                <w:rFonts w:ascii="Times New Roman" w:cs="Times New Roman" w:eastAsia="Times New Roman" w:hAnsi="Times New Roman"/>
                <w:b w:val="1"/>
                <w:bCs w:val="1"/>
                <w:sz w:val="22"/>
                <w:szCs w:val="22"/>
                <w:rtl w:val="0"/>
              </w:rPr>
              <w:tab/>
              <w:t xml:space="preserve">A Szavatoló Felek jognyilatkozatai és szavatosság vállalásai</w:t>
            </w:r>
          </w:p>
        </w:tc>
        <w:tc>
          <w:tcPr/>
          <w:p w:rsidR="00000000" w:rsidDel="00000000" w:rsidP="00000000" w:rsidRDefault="00000000" w:rsidRPr="00000000" w14:paraId="000000DA">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10.2</w:t>
            </w:r>
            <w:r w:rsidDel="00000000" w:rsidR="00000000" w:rsidRPr="00000000">
              <w:rPr>
                <w:rFonts w:ascii="Times New Roman" w:cs="Times New Roman" w:eastAsia="Times New Roman" w:hAnsi="Times New Roman"/>
                <w:b w:val="1"/>
                <w:bCs w:val="1"/>
                <w:sz w:val="22"/>
                <w:szCs w:val="22"/>
                <w:rtl w:val="0"/>
              </w:rPr>
              <w:tab/>
              <w:t xml:space="preserve">Representations and warranties of the Warrantors</w:t>
            </w:r>
          </w:p>
        </w:tc>
      </w:tr>
      <w:tr>
        <w:trPr>
          <w:cantSplit w:val="0"/>
          <w:tblHeader w:val="0"/>
        </w:trPr>
        <w:tc>
          <w:tcPr/>
          <w:p w:rsidR="00000000" w:rsidDel="00000000" w:rsidP="00000000" w:rsidRDefault="00000000" w:rsidRPr="00000000" w14:paraId="000000D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Társaság és minden egyes Alapító (egyenként „</w:t>
            </w:r>
            <w:r w:rsidDel="00000000" w:rsidR="00000000" w:rsidRPr="00000000">
              <w:rPr>
                <w:rFonts w:ascii="Times New Roman" w:cs="Times New Roman" w:eastAsia="Times New Roman" w:hAnsi="Times New Roman"/>
                <w:b w:val="1"/>
                <w:bCs w:val="1"/>
                <w:sz w:val="22"/>
                <w:szCs w:val="22"/>
                <w:rtl w:val="0"/>
              </w:rPr>
              <w:t xml:space="preserve">Szavatoló Fél</w:t>
            </w:r>
            <w:r w:rsidDel="00000000" w:rsidR="00000000" w:rsidRPr="00000000">
              <w:rPr>
                <w:rFonts w:ascii="Times New Roman" w:cs="Times New Roman" w:eastAsia="Times New Roman" w:hAnsi="Times New Roman"/>
                <w:sz w:val="22"/>
                <w:szCs w:val="22"/>
                <w:rtl w:val="0"/>
              </w:rPr>
              <w:t xml:space="preserve">”, együtt „</w:t>
            </w:r>
            <w:r w:rsidDel="00000000" w:rsidR="00000000" w:rsidRPr="00000000">
              <w:rPr>
                <w:rFonts w:ascii="Times New Roman" w:cs="Times New Roman" w:eastAsia="Times New Roman" w:hAnsi="Times New Roman"/>
                <w:b w:val="1"/>
                <w:bCs w:val="1"/>
                <w:sz w:val="22"/>
                <w:szCs w:val="22"/>
                <w:rtl w:val="0"/>
              </w:rPr>
              <w:t xml:space="preserve">Szavatoló Felek</w:t>
            </w:r>
            <w:r w:rsidDel="00000000" w:rsidR="00000000" w:rsidRPr="00000000">
              <w:rPr>
                <w:rFonts w:ascii="Times New Roman" w:cs="Times New Roman" w:eastAsia="Times New Roman" w:hAnsi="Times New Roman"/>
                <w:sz w:val="22"/>
                <w:szCs w:val="22"/>
                <w:rtl w:val="0"/>
              </w:rPr>
              <w:t xml:space="preserve">”) ezennel kijelentik és szavatolnak a Befektető felé, hogy a </w:t>
            </w:r>
            <w:r w:rsidDel="00000000" w:rsidR="00000000" w:rsidRPr="00000000">
              <w:rPr>
                <w:rFonts w:ascii="Times New Roman" w:cs="Times New Roman" w:eastAsia="Times New Roman" w:hAnsi="Times New Roman"/>
                <w:sz w:val="22"/>
                <w:szCs w:val="22"/>
                <w:u w:val="single"/>
                <w:rtl w:val="0"/>
              </w:rPr>
              <w:t xml:space="preserve">1. mellékletben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bCs w:val="1"/>
                <w:sz w:val="22"/>
                <w:szCs w:val="22"/>
                <w:rtl w:val="0"/>
              </w:rPr>
              <w:t xml:space="preserve">Szavatosságok</w:t>
            </w:r>
            <w:r w:rsidDel="00000000" w:rsidR="00000000" w:rsidRPr="00000000">
              <w:rPr>
                <w:rFonts w:ascii="Times New Roman" w:cs="Times New Roman" w:eastAsia="Times New Roman" w:hAnsi="Times New Roman"/>
                <w:sz w:val="22"/>
                <w:szCs w:val="22"/>
                <w:rtl w:val="0"/>
              </w:rPr>
              <w:t xml:space="preserve">”) foglalt nyilatkozatok és szavatosságok minden tekintetben pontosak és valósak a Szerződés Aláírásának Napján, vagy az adott napra vonatkozóan tett Szavatosságok esetében az adott napon.</w:t>
            </w:r>
          </w:p>
          <w:p w:rsidR="00000000" w:rsidDel="00000000" w:rsidP="00000000" w:rsidRDefault="00000000" w:rsidRPr="00000000" w14:paraId="000000DC">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Befektető tudomásul veszi, hogy a Ptk. 3:172. § és a 3:170. § (2) bekezdésének megfelelően a Társaság a társasági szerződésben kikötötte, hogy amennyiben a társasági részesedései, illetve a jelen Szerződés szerinti jegyzési jogok jogosultjának személyében vagyonközösség megszűnésé, illetve hagyatéki eljárás következtében változás áll be a Tagokat megilleti a részesedés magukhoz váltásának joga.</w:t>
            </w:r>
          </w:p>
        </w:tc>
        <w:tc>
          <w:tcPr/>
          <w:p w:rsidR="00000000" w:rsidDel="00000000" w:rsidP="00000000" w:rsidRDefault="00000000" w:rsidRPr="00000000" w14:paraId="000000D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Company and each Founder (each a “</w:t>
            </w:r>
            <w:r w:rsidDel="00000000" w:rsidR="00000000" w:rsidRPr="00000000">
              <w:rPr>
                <w:rFonts w:ascii="Times New Roman" w:cs="Times New Roman" w:eastAsia="Times New Roman" w:hAnsi="Times New Roman"/>
                <w:b w:val="1"/>
                <w:bCs w:val="1"/>
                <w:sz w:val="22"/>
                <w:szCs w:val="22"/>
                <w:rtl w:val="0"/>
              </w:rPr>
              <w:t xml:space="preserve">Warrantor</w:t>
            </w:r>
            <w:r w:rsidDel="00000000" w:rsidR="00000000" w:rsidRPr="00000000">
              <w:rPr>
                <w:rFonts w:ascii="Times New Roman" w:cs="Times New Roman" w:eastAsia="Times New Roman" w:hAnsi="Times New Roman"/>
                <w:sz w:val="22"/>
                <w:szCs w:val="22"/>
                <w:rtl w:val="0"/>
              </w:rPr>
              <w:t xml:space="preserve">” and together the “</w:t>
            </w:r>
            <w:r w:rsidDel="00000000" w:rsidR="00000000" w:rsidRPr="00000000">
              <w:rPr>
                <w:rFonts w:ascii="Times New Roman" w:cs="Times New Roman" w:eastAsia="Times New Roman" w:hAnsi="Times New Roman"/>
                <w:b w:val="1"/>
                <w:bCs w:val="1"/>
                <w:sz w:val="22"/>
                <w:szCs w:val="22"/>
                <w:rtl w:val="0"/>
              </w:rPr>
              <w:t xml:space="preserve">Warrantors</w:t>
            </w:r>
            <w:r w:rsidDel="00000000" w:rsidR="00000000" w:rsidRPr="00000000">
              <w:rPr>
                <w:rFonts w:ascii="Times New Roman" w:cs="Times New Roman" w:eastAsia="Times New Roman" w:hAnsi="Times New Roman"/>
                <w:sz w:val="22"/>
                <w:szCs w:val="22"/>
                <w:rtl w:val="0"/>
              </w:rPr>
              <w:t xml:space="preserve">”) hereby represent and warrant to the Investor that the statements set forth in Schedule 1 (the “</w:t>
            </w:r>
            <w:r w:rsidDel="00000000" w:rsidR="00000000" w:rsidRPr="00000000">
              <w:rPr>
                <w:rFonts w:ascii="Times New Roman" w:cs="Times New Roman" w:eastAsia="Times New Roman" w:hAnsi="Times New Roman"/>
                <w:b w:val="1"/>
                <w:bCs w:val="1"/>
                <w:sz w:val="22"/>
                <w:szCs w:val="22"/>
                <w:rtl w:val="0"/>
              </w:rPr>
              <w:t xml:space="preserve">Warranties</w:t>
            </w:r>
            <w:r w:rsidDel="00000000" w:rsidR="00000000" w:rsidRPr="00000000">
              <w:rPr>
                <w:rFonts w:ascii="Times New Roman" w:cs="Times New Roman" w:eastAsia="Times New Roman" w:hAnsi="Times New Roman"/>
                <w:sz w:val="22"/>
                <w:szCs w:val="22"/>
                <w:rtl w:val="0"/>
              </w:rPr>
              <w:t xml:space="preserve">”) are true and correct in all respects as at the Signing Date or, in case of Warranties explicitly made as at a specific date, as at such specific date.</w:t>
            </w:r>
          </w:p>
          <w:p w:rsidR="00000000" w:rsidDel="00000000" w:rsidP="00000000" w:rsidRDefault="00000000" w:rsidRPr="00000000" w14:paraId="000000DF">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Investor acknowledges that, pursuant to Sections 3:172 and 3:170 (2) of the Hungarian Civil Code, the Company has stipulated in its Articles of Association the right for the Shareholders make a statement on their intent to acquire the shares themselves if the holder of the Shares or the subscription rights under this Agreement changes due to the termination matrimonial property or a probate proceeding.</w:t>
            </w:r>
          </w:p>
          <w:p w:rsidR="00000000" w:rsidDel="00000000" w:rsidP="00000000" w:rsidRDefault="00000000" w:rsidRPr="00000000" w14:paraId="000000E2">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5">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11.</w:t>
              <w:tab/>
              <w:t xml:space="preserve">TITOKTARTÁS</w:t>
            </w:r>
          </w:p>
        </w:tc>
        <w:tc>
          <w:tcPr/>
          <w:p w:rsidR="00000000" w:rsidDel="00000000" w:rsidP="00000000" w:rsidRDefault="00000000" w:rsidRPr="00000000" w14:paraId="000000E6">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11.</w:t>
              <w:tab/>
              <w:t xml:space="preserve">CONFIDENTIALITY</w:t>
            </w:r>
          </w:p>
        </w:tc>
      </w:tr>
      <w:tr>
        <w:trPr>
          <w:cantSplit w:val="0"/>
          <w:tblHeader w:val="0"/>
        </w:trPr>
        <w:tc>
          <w:tcPr/>
          <w:p w:rsidR="00000000" w:rsidDel="00000000" w:rsidP="00000000" w:rsidRDefault="00000000" w:rsidRPr="00000000" w14:paraId="000000E7">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11.1.</w:t>
            </w:r>
            <w:r w:rsidDel="00000000" w:rsidR="00000000" w:rsidRPr="00000000">
              <w:rPr>
                <w:rFonts w:ascii="Times New Roman" w:cs="Times New Roman" w:eastAsia="Times New Roman" w:hAnsi="Times New Roman"/>
                <w:b w:val="1"/>
                <w:bCs w:val="1"/>
                <w:sz w:val="22"/>
                <w:szCs w:val="22"/>
                <w:rtl w:val="0"/>
              </w:rPr>
              <w:tab/>
              <w:t xml:space="preserve">A Bizalmas Információ fogalma</w:t>
            </w:r>
          </w:p>
        </w:tc>
        <w:tc>
          <w:tcPr/>
          <w:p w:rsidR="00000000" w:rsidDel="00000000" w:rsidP="00000000" w:rsidRDefault="00000000" w:rsidRPr="00000000" w14:paraId="000000E8">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11.1</w:t>
            </w:r>
            <w:r w:rsidDel="00000000" w:rsidR="00000000" w:rsidRPr="00000000">
              <w:rPr>
                <w:rFonts w:ascii="Times New Roman" w:cs="Times New Roman" w:eastAsia="Times New Roman" w:hAnsi="Times New Roman"/>
                <w:b w:val="1"/>
                <w:bCs w:val="1"/>
                <w:sz w:val="22"/>
                <w:szCs w:val="22"/>
                <w:rtl w:val="0"/>
              </w:rPr>
              <w:tab/>
              <w:t xml:space="preserve">Definition of Confidential Information</w:t>
            </w:r>
          </w:p>
        </w:tc>
      </w:tr>
      <w:tr>
        <w:trPr>
          <w:cantSplit w:val="0"/>
          <w:tblHeader w:val="0"/>
        </w:trPr>
        <w:tc>
          <w:tcPr/>
          <w:p w:rsidR="00000000" w:rsidDel="00000000" w:rsidP="00000000" w:rsidRDefault="00000000" w:rsidRPr="00000000" w14:paraId="000000E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Szerződés alkalmazásában „</w:t>
            </w:r>
            <w:r w:rsidDel="00000000" w:rsidR="00000000" w:rsidRPr="00000000">
              <w:rPr>
                <w:rFonts w:ascii="Times New Roman" w:cs="Times New Roman" w:eastAsia="Times New Roman" w:hAnsi="Times New Roman"/>
                <w:b w:val="1"/>
                <w:bCs w:val="1"/>
                <w:sz w:val="22"/>
                <w:szCs w:val="22"/>
                <w:rtl w:val="0"/>
              </w:rPr>
              <w:t xml:space="preserve">Bizalmas Információ</w:t>
            </w:r>
            <w:r w:rsidDel="00000000" w:rsidR="00000000" w:rsidRPr="00000000">
              <w:rPr>
                <w:rFonts w:ascii="Times New Roman" w:cs="Times New Roman" w:eastAsia="Times New Roman" w:hAnsi="Times New Roman"/>
                <w:sz w:val="22"/>
                <w:szCs w:val="22"/>
                <w:rtl w:val="0"/>
              </w:rPr>
              <w:t xml:space="preserve">” alatt értendő: (a) a Szerződés létezése és feltételei; valamint (b) a Felek bármelyikére vonatkozó, minden olyan információ, amelyhez egy másik Fél a Megállapodás megkötése vagy teljesítése során jut, és amelyet a közléskor bizalmasnak jelölnek meg, vagy amelynek bizalmas vagy érzékeny kezelése az adott helyzetben általában elvárható.</w:t>
            </w:r>
          </w:p>
        </w:tc>
        <w:tc>
          <w:tcPr/>
          <w:p w:rsidR="00000000" w:rsidDel="00000000" w:rsidP="00000000" w:rsidRDefault="00000000" w:rsidRPr="00000000" w14:paraId="000000E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For the purposes of this Agreement “</w:t>
            </w:r>
            <w:r w:rsidDel="00000000" w:rsidR="00000000" w:rsidRPr="00000000">
              <w:rPr>
                <w:rFonts w:ascii="Times New Roman" w:cs="Times New Roman" w:eastAsia="Times New Roman" w:hAnsi="Times New Roman"/>
                <w:b w:val="1"/>
                <w:bCs w:val="1"/>
                <w:sz w:val="22"/>
                <w:szCs w:val="22"/>
                <w:rtl w:val="0"/>
              </w:rPr>
              <w:t xml:space="preserve">Confidential Information</w:t>
            </w:r>
            <w:r w:rsidDel="00000000" w:rsidR="00000000" w:rsidRPr="00000000">
              <w:rPr>
                <w:rFonts w:ascii="Times New Roman" w:cs="Times New Roman" w:eastAsia="Times New Roman" w:hAnsi="Times New Roman"/>
                <w:sz w:val="22"/>
                <w:szCs w:val="22"/>
                <w:rtl w:val="0"/>
              </w:rPr>
              <w:t xml:space="preserve">” means (a) the existence and the terms of this Agreement and (b) any information relating to a Party that another Party receives as a result of entering into or performing this Agreement and that, at the time of disclosure, is designated as being confidential or that would be regarded as confidential or commercially sensitive by a reasonable business persontag</w:t>
            </w:r>
          </w:p>
        </w:tc>
      </w:tr>
      <w:tr>
        <w:trPr>
          <w:cantSplit w:val="0"/>
          <w:tblHeader w:val="0"/>
        </w:trPr>
        <w:tc>
          <w:tcPr/>
          <w:p w:rsidR="00000000" w:rsidDel="00000000" w:rsidP="00000000" w:rsidRDefault="00000000" w:rsidRPr="00000000" w14:paraId="000000E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Bizalmas Információ azonban nem foglalja magában azokat az információkat, amelyek: (a) a nagyközönség számára általánosan hozzáférhetők, vagy jelentős munka, készség vagy pénz ráfordítása nélkül hozzáférhetők lennének (ideértve azonban nem a Szerződés megszegését); (b) a nyilvánosságra hozatal időpontjában a fogadó Fél számára már ismertek voltak, korlátozás nélkül; (c) a fogadó Fél birtokába kerülnek, vagy már eleve a birtokában voltak, a titoktartási kötelezettség megsértése nélkül; (d) amelynek nyilvánosságra hozatalát a Társaság kifejezetten, legalább írásban reprodukálható formában jóváhagyta; (e) amelyeket valamely Félnek nyilvánosságra kell hoznia bármely jogszabály, szabályozott piacra vonatkozó előírás, bírósági végzés vagy olyan hatósági rendelkezés alapján, amelynek az adott Fél alá van vetve, vagy amelyhez önként csatlakozik.</w:t>
            </w:r>
          </w:p>
        </w:tc>
        <w:tc>
          <w:tcPr/>
          <w:p w:rsidR="00000000" w:rsidDel="00000000" w:rsidP="00000000" w:rsidRDefault="00000000" w:rsidRPr="00000000" w14:paraId="000000E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Confidential Information shall not, however, include information that (a) is, or that becomes (other than through a breach of this Agreement), available to the public generally without requiring a significant expenditure of labour, skill or money; (b) is, at the time of disclosure, already known to the receiving Party without restriction on disclosure; (c) is, or subsequently comes, into the possession of the receiving Party without the violation of any obligation of confidentiality; (d) is explicitly approved for release by the Company at least in a form reproducible in writing; (e) a Party is required to disclose under any laws or regulations, the rules of the regulated market on which such Party’s securities are traded or by any public authority to which such Party is subject or submits, or by any court order.</w:t>
            </w:r>
          </w:p>
        </w:tc>
      </w:tr>
      <w:tr>
        <w:trPr>
          <w:cantSplit w:val="0"/>
          <w:tblHeader w:val="0"/>
        </w:trPr>
        <w:tc>
          <w:tcPr/>
          <w:p w:rsidR="00000000" w:rsidDel="00000000" w:rsidP="00000000" w:rsidRDefault="00000000" w:rsidRPr="00000000" w14:paraId="000000ED">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11.2.</w:t>
            </w:r>
            <w:r w:rsidDel="00000000" w:rsidR="00000000" w:rsidRPr="00000000">
              <w:rPr>
                <w:rFonts w:ascii="Times New Roman" w:cs="Times New Roman" w:eastAsia="Times New Roman" w:hAnsi="Times New Roman"/>
                <w:b w:val="1"/>
                <w:bCs w:val="1"/>
                <w:sz w:val="22"/>
                <w:szCs w:val="22"/>
                <w:rtl w:val="0"/>
              </w:rPr>
              <w:tab/>
              <w:t xml:space="preserve">Titoktartási kötelezettség</w:t>
            </w:r>
          </w:p>
        </w:tc>
        <w:tc>
          <w:tcPr/>
          <w:p w:rsidR="00000000" w:rsidDel="00000000" w:rsidP="00000000" w:rsidRDefault="00000000" w:rsidRPr="00000000" w14:paraId="000000EE">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11.2</w:t>
            </w:r>
            <w:r w:rsidDel="00000000" w:rsidR="00000000" w:rsidRPr="00000000">
              <w:rPr>
                <w:rFonts w:ascii="Times New Roman" w:cs="Times New Roman" w:eastAsia="Times New Roman" w:hAnsi="Times New Roman"/>
                <w:b w:val="1"/>
                <w:bCs w:val="1"/>
                <w:sz w:val="22"/>
                <w:szCs w:val="22"/>
                <w:rtl w:val="0"/>
              </w:rPr>
              <w:tab/>
              <w:t xml:space="preserve">Confidentiality obligation</w:t>
            </w:r>
          </w:p>
        </w:tc>
      </w:tr>
      <w:tr>
        <w:trPr>
          <w:cantSplit w:val="0"/>
          <w:tblHeader w:val="0"/>
        </w:trPr>
        <w:tc>
          <w:tcPr/>
          <w:p w:rsidR="00000000" w:rsidDel="00000000" w:rsidP="00000000" w:rsidRDefault="00000000" w:rsidRPr="00000000" w14:paraId="000000E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Felek kötelesek a Bizalmas Információkat szigorúan bizalmasan kezelni, és azokat harmadik személyek számára semmilyen formában nem használhatják fel, nem tehetik hozzáférhetővé, illetve nem hozhatják nyilvánosságra, kivéve, ha a Társaság Tevékenysége szerinti célok elérése ezt indokolja. A félreértések elkerülése érdekében a Felek kifejezetten rögzítik, hogy a Társaság jogosult a Bizalmas Információkat harmadik személyek számára hozzáférhetővé tenni, illetve azokat nyilvánosságra hozni, amennyiben ez a Társaság Tevékenységének vagy jogos érdekeinek előmozdításához szükséges. A Felek jogosultak a Bizalmas Információkat ügyvédeik, könyvelőik, tanácsadóik, valamint egyéb szakmai közreműködőik részére hozzáférhetővé tenni, kizárólag az adott szolgáltatás teljesítéséhez feltétlenül szükséges mértékben, azzal a feltétellel, hogy az érintett szakmai közreműködők a jelen Szerződés szerinti titoktartási kötelezettségekkel azonos tartalmú titoktartási kötelezettség hatálya alá tartoznak.</w:t>
            </w:r>
          </w:p>
        </w:tc>
        <w:tc>
          <w:tcPr/>
          <w:p w:rsidR="00000000" w:rsidDel="00000000" w:rsidP="00000000" w:rsidRDefault="00000000" w:rsidRPr="00000000" w14:paraId="000000F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Each Party shall treat Confidential Information as confidential and shall not use or disclose it to any third party or enable any third party to become aware of (except for the purposes of the Company’s business). For the avoidance of doubt, the Company is entitled to disclose Confidential Information to any third party for the purposes of the Company’s business. Notwithstanding the foregoing, a Party may disclose Confidential Information to its attorneys, accountants, consultants and other professional advisors to the extent necessary to obtain their services, provided that they are subject to the same confidentiality obligations as the relevant Party.</w:t>
            </w:r>
          </w:p>
        </w:tc>
      </w:tr>
      <w:tr>
        <w:trPr>
          <w:cantSplit w:val="0"/>
          <w:tblHeader w:val="0"/>
        </w:trPr>
        <w:tc>
          <w:tcPr/>
          <w:p w:rsidR="00000000" w:rsidDel="00000000" w:rsidP="00000000" w:rsidRDefault="00000000" w:rsidRPr="00000000" w14:paraId="000000F1">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12.</w:t>
              <w:tab/>
              <w:t xml:space="preserve">ZÁRÓ RENDELKEZÉSEK</w:t>
            </w:r>
          </w:p>
        </w:tc>
        <w:tc>
          <w:tcPr/>
          <w:p w:rsidR="00000000" w:rsidDel="00000000" w:rsidP="00000000" w:rsidRDefault="00000000" w:rsidRPr="00000000" w14:paraId="000000F2">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12.</w:t>
              <w:tab/>
              <w:t xml:space="preserve">FINAL PROVISIONS</w:t>
            </w:r>
          </w:p>
        </w:tc>
      </w:tr>
      <w:tr>
        <w:trPr>
          <w:cantSplit w:val="0"/>
          <w:tblHeader w:val="0"/>
        </w:trPr>
        <w:tc>
          <w:tcPr/>
          <w:p w:rsidR="00000000" w:rsidDel="00000000" w:rsidP="00000000" w:rsidRDefault="00000000" w:rsidRPr="00000000" w14:paraId="000000F3">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12.1.</w:t>
            </w:r>
            <w:r w:rsidDel="00000000" w:rsidR="00000000" w:rsidRPr="00000000">
              <w:rPr>
                <w:rFonts w:ascii="Times New Roman" w:cs="Times New Roman" w:eastAsia="Times New Roman" w:hAnsi="Times New Roman"/>
                <w:b w:val="1"/>
                <w:bCs w:val="1"/>
                <w:sz w:val="22"/>
                <w:szCs w:val="22"/>
                <w:rtl w:val="0"/>
              </w:rPr>
              <w:tab/>
              <w:t xml:space="preserve">Módosítások</w:t>
            </w:r>
          </w:p>
        </w:tc>
        <w:tc>
          <w:tcPr/>
          <w:p w:rsidR="00000000" w:rsidDel="00000000" w:rsidP="00000000" w:rsidRDefault="00000000" w:rsidRPr="00000000" w14:paraId="000000F4">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12.1</w:t>
            </w:r>
            <w:r w:rsidDel="00000000" w:rsidR="00000000" w:rsidRPr="00000000">
              <w:rPr>
                <w:rFonts w:ascii="Times New Roman" w:cs="Times New Roman" w:eastAsia="Times New Roman" w:hAnsi="Times New Roman"/>
                <w:b w:val="1"/>
                <w:bCs w:val="1"/>
                <w:sz w:val="22"/>
                <w:szCs w:val="22"/>
                <w:rtl w:val="0"/>
              </w:rPr>
              <w:tab/>
              <w:t xml:space="preserve">Amendments</w:t>
            </w:r>
          </w:p>
        </w:tc>
      </w:tr>
      <w:tr>
        <w:trPr>
          <w:cantSplit w:val="0"/>
          <w:tblHeader w:val="0"/>
        </w:trPr>
        <w:tc>
          <w:tcPr/>
          <w:p w:rsidR="00000000" w:rsidDel="00000000" w:rsidP="00000000" w:rsidRDefault="00000000" w:rsidRPr="00000000" w14:paraId="000000F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Szerződés (beleértve a jelen 12.1. pont is) csak az eredeti Megállapodással azonos formában módosítható, kivéve, ha a Felek ettől eltérően írásban állapodnak meg. A Szerződés módosítása kizárólag akkor érvényes, ha azt a Társaság és a Befektetői Többség jóváhagyja és aláírja, amely esetben a módosítás minden Félre kötelező, az alábbi korlátozásokkal:</w:t>
            </w:r>
          </w:p>
        </w:tc>
        <w:tc>
          <w:tcPr/>
          <w:p w:rsidR="00000000" w:rsidDel="00000000" w:rsidP="00000000" w:rsidRDefault="00000000" w:rsidRPr="00000000" w14:paraId="000000F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Agreement (including this Section 12.1) may be amended only in the same form as the original Agreement, unless agreed otherwise by all Parties. Amendment of this Agreement shall be valid only if it is agreed to and signed by the Company and the Investor Majority, in which event such an amendment shall be binding on all Parties, provided that</w:t>
            </w:r>
          </w:p>
        </w:tc>
      </w:tr>
      <w:tr>
        <w:trPr>
          <w:cantSplit w:val="0"/>
          <w:tblHeader w:val="0"/>
        </w:trPr>
        <w:tc>
          <w:tcPr/>
          <w:p w:rsidR="00000000" w:rsidDel="00000000" w:rsidP="00000000" w:rsidRDefault="00000000" w:rsidRPr="00000000" w14:paraId="000000F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12.1.1.</w:t>
              <w:tab/>
              <w:t xml:space="preserve">Az Alapító által vállalt bármely szavatosság vagy annak feltétele nem módosítható az érintett Alapító írásbeli hozzájárulása nélkül;</w:t>
            </w:r>
          </w:p>
        </w:tc>
        <w:tc>
          <w:tcPr/>
          <w:p w:rsidR="00000000" w:rsidDel="00000000" w:rsidP="00000000" w:rsidRDefault="00000000" w:rsidRPr="00000000" w14:paraId="000000F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12.1.1</w:t>
              <w:tab/>
              <w:t xml:space="preserve">any Warranty and any terms and conditions relating to any Warranty provided by a Founder may not be amended without the consent of such Founder;</w:t>
            </w:r>
          </w:p>
        </w:tc>
      </w:tr>
      <w:tr>
        <w:trPr>
          <w:cantSplit w:val="0"/>
          <w:tblHeader w:val="0"/>
        </w:trPr>
        <w:tc>
          <w:tcPr/>
          <w:p w:rsidR="00000000" w:rsidDel="00000000" w:rsidP="00000000" w:rsidRDefault="00000000" w:rsidRPr="00000000" w14:paraId="000000F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12.1.2.</w:t>
              <w:tab/>
              <w:t xml:space="preserve">Amennyiben a módosítás új kötelezettséget ró valamely Félre, vagy a meglévő kötelezettség teljesítését terhesebbé teszi, az érintett Fél külön írásbeli hozzájárulása szükséges a módosításhoz. (Azonban a Lejárat meghosszabbítása nem minősül a Befektetőre nézve új kötelezettségnek vagy meglévő kötelezettség terhesebbé tételének.)</w:t>
            </w:r>
          </w:p>
        </w:tc>
        <w:tc>
          <w:tcPr/>
          <w:p w:rsidR="00000000" w:rsidDel="00000000" w:rsidP="00000000" w:rsidRDefault="00000000" w:rsidRPr="00000000" w14:paraId="000000F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12.1.2</w:t>
              <w:tab/>
              <w:t xml:space="preserve">if the amendment in question imposes any new obligations on a Party or increases any existing obligation, the consent of the affected Party to such amendment shall be specifically required (provided that the extension of the Maturity Date shall not be considered as imposing any new obligation or increasing any existing obligation of the Investor).</w:t>
            </w:r>
          </w:p>
        </w:tc>
      </w:tr>
      <w:tr>
        <w:trPr>
          <w:cantSplit w:val="0"/>
          <w:tblHeader w:val="0"/>
        </w:trPr>
        <w:tc>
          <w:tcPr/>
          <w:p w:rsidR="00000000" w:rsidDel="00000000" w:rsidP="00000000" w:rsidRDefault="00000000" w:rsidRPr="00000000" w14:paraId="000000FB">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12.2.</w:t>
            </w:r>
            <w:r w:rsidDel="00000000" w:rsidR="00000000" w:rsidRPr="00000000">
              <w:rPr>
                <w:rFonts w:ascii="Times New Roman" w:cs="Times New Roman" w:eastAsia="Times New Roman" w:hAnsi="Times New Roman"/>
                <w:b w:val="1"/>
                <w:bCs w:val="1"/>
                <w:sz w:val="22"/>
                <w:szCs w:val="22"/>
                <w:rtl w:val="0"/>
              </w:rPr>
              <w:tab/>
              <w:t xml:space="preserve">Érvénytelen rendelkezések</w:t>
            </w:r>
          </w:p>
        </w:tc>
        <w:tc>
          <w:tcPr/>
          <w:p w:rsidR="00000000" w:rsidDel="00000000" w:rsidP="00000000" w:rsidRDefault="00000000" w:rsidRPr="00000000" w14:paraId="000000FC">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12.2</w:t>
            </w:r>
            <w:r w:rsidDel="00000000" w:rsidR="00000000" w:rsidRPr="00000000">
              <w:rPr>
                <w:rFonts w:ascii="Times New Roman" w:cs="Times New Roman" w:eastAsia="Times New Roman" w:hAnsi="Times New Roman"/>
                <w:b w:val="1"/>
                <w:bCs w:val="1"/>
                <w:sz w:val="22"/>
                <w:szCs w:val="22"/>
                <w:rtl w:val="0"/>
              </w:rPr>
              <w:tab/>
              <w:t xml:space="preserve">Invalid provisions</w:t>
            </w:r>
          </w:p>
        </w:tc>
      </w:tr>
      <w:tr>
        <w:trPr>
          <w:cantSplit w:val="0"/>
          <w:tblHeader w:val="0"/>
        </w:trPr>
        <w:tc>
          <w:tcPr/>
          <w:p w:rsidR="00000000" w:rsidDel="00000000" w:rsidP="00000000" w:rsidRDefault="00000000" w:rsidRPr="00000000" w14:paraId="000000F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Amennyiben a Megállapodás bármely rendelkezése érvénytelennek vagy végrehajthatatlannak minősül, a Felek kötelesek mindent megtenni annak érdekében, hogy az adott rendelkezést oly módon helyettesítsék, amely a lehető legközelebb áll az eredeti rendelkezés által elérni kívánt joghatáshoz és célhoz.</w:t>
            </w:r>
          </w:p>
        </w:tc>
        <w:tc>
          <w:tcPr/>
          <w:p w:rsidR="00000000" w:rsidDel="00000000" w:rsidP="00000000" w:rsidRDefault="00000000" w:rsidRPr="00000000" w14:paraId="000000F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If any provision of this Agreement is invalid or unenforceable the Parties shall make their best efforts to replace such provision to achieve the effect closest to the original provision.</w:t>
            </w:r>
          </w:p>
        </w:tc>
      </w:tr>
      <w:tr>
        <w:trPr>
          <w:cantSplit w:val="0"/>
          <w:tblHeader w:val="0"/>
        </w:trPr>
        <w:tc>
          <w:tcPr/>
          <w:p w:rsidR="00000000" w:rsidDel="00000000" w:rsidP="00000000" w:rsidRDefault="00000000" w:rsidRPr="00000000" w14:paraId="000000FF">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12.3.</w:t>
            </w:r>
            <w:r w:rsidDel="00000000" w:rsidR="00000000" w:rsidRPr="00000000">
              <w:rPr>
                <w:rFonts w:ascii="Times New Roman" w:cs="Times New Roman" w:eastAsia="Times New Roman" w:hAnsi="Times New Roman"/>
                <w:b w:val="1"/>
                <w:bCs w:val="1"/>
                <w:sz w:val="22"/>
                <w:szCs w:val="22"/>
                <w:rtl w:val="0"/>
              </w:rPr>
              <w:tab/>
              <w:t xml:space="preserve">Teljességi záradék</w:t>
            </w:r>
          </w:p>
        </w:tc>
        <w:tc>
          <w:tcPr/>
          <w:p w:rsidR="00000000" w:rsidDel="00000000" w:rsidP="00000000" w:rsidRDefault="00000000" w:rsidRPr="00000000" w14:paraId="00000100">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12.3</w:t>
            </w:r>
            <w:r w:rsidDel="00000000" w:rsidR="00000000" w:rsidRPr="00000000">
              <w:rPr>
                <w:rFonts w:ascii="Times New Roman" w:cs="Times New Roman" w:eastAsia="Times New Roman" w:hAnsi="Times New Roman"/>
                <w:b w:val="1"/>
                <w:bCs w:val="1"/>
                <w:sz w:val="22"/>
                <w:szCs w:val="22"/>
                <w:rtl w:val="0"/>
              </w:rPr>
              <w:tab/>
              <w:t xml:space="preserve">Merger clause</w:t>
            </w:r>
          </w:p>
        </w:tc>
      </w:tr>
      <w:tr>
        <w:trPr>
          <w:cantSplit w:val="0"/>
          <w:tblHeader w:val="0"/>
        </w:trPr>
        <w:tc>
          <w:tcPr/>
          <w:p w:rsidR="00000000" w:rsidDel="00000000" w:rsidP="00000000" w:rsidRDefault="00000000" w:rsidRPr="00000000" w14:paraId="0000010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Szerződés a Felek között létrejött teljes megállapodást magába foglalja, és hatályon kívül helyez minden a Felek között a Szerződés tárgyára vonatkozó korábbi szándéknyilatkozatot, megállapodást és egyéb kommunikációt.</w:t>
            </w:r>
          </w:p>
        </w:tc>
        <w:tc>
          <w:tcPr/>
          <w:p w:rsidR="00000000" w:rsidDel="00000000" w:rsidP="00000000" w:rsidRDefault="00000000" w:rsidRPr="00000000" w14:paraId="0000010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Agreement constitutes the entire agreement of the Parties with respect to the subject matter hereof and supersedes all other prior declarations of intent, agreements and other communication between the Parties with respect to the subject matter hereof.</w:t>
            </w:r>
          </w:p>
        </w:tc>
      </w:tr>
      <w:tr>
        <w:trPr>
          <w:cantSplit w:val="0"/>
          <w:tblHeader w:val="0"/>
        </w:trPr>
        <w:tc>
          <w:tcPr/>
          <w:p w:rsidR="00000000" w:rsidDel="00000000" w:rsidP="00000000" w:rsidRDefault="00000000" w:rsidRPr="00000000" w14:paraId="00000103">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12.4.</w:t>
            </w:r>
            <w:r w:rsidDel="00000000" w:rsidR="00000000" w:rsidRPr="00000000">
              <w:rPr>
                <w:rFonts w:ascii="Times New Roman" w:cs="Times New Roman" w:eastAsia="Times New Roman" w:hAnsi="Times New Roman"/>
                <w:b w:val="1"/>
                <w:bCs w:val="1"/>
                <w:sz w:val="22"/>
                <w:szCs w:val="22"/>
                <w:rtl w:val="0"/>
              </w:rPr>
              <w:tab/>
              <w:t xml:space="preserve">Tájékoztatás</w:t>
            </w:r>
          </w:p>
        </w:tc>
        <w:tc>
          <w:tcPr/>
          <w:p w:rsidR="00000000" w:rsidDel="00000000" w:rsidP="00000000" w:rsidRDefault="00000000" w:rsidRPr="00000000" w14:paraId="00000104">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12.4</w:t>
            </w:r>
            <w:r w:rsidDel="00000000" w:rsidR="00000000" w:rsidRPr="00000000">
              <w:rPr>
                <w:rFonts w:ascii="Times New Roman" w:cs="Times New Roman" w:eastAsia="Times New Roman" w:hAnsi="Times New Roman"/>
                <w:b w:val="1"/>
                <w:bCs w:val="1"/>
                <w:sz w:val="22"/>
                <w:szCs w:val="22"/>
                <w:rtl w:val="0"/>
              </w:rPr>
              <w:tab/>
              <w:t xml:space="preserve">Notices</w:t>
            </w:r>
          </w:p>
        </w:tc>
      </w:tr>
      <w:tr>
        <w:trPr>
          <w:cantSplit w:val="0"/>
          <w:tblHeader w:val="0"/>
        </w:trPr>
        <w:tc>
          <w:tcPr/>
          <w:p w:rsidR="00000000" w:rsidDel="00000000" w:rsidP="00000000" w:rsidRDefault="00000000" w:rsidRPr="00000000" w14:paraId="0000010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Szerződés szerinti tájékoztatást vagy bármely más kommunikációt írásban, reprodukálható formában kell megküldeni az aláírási oldalon megadott elérhetőségekre. Az elektronikus úton történő értesítés vagy kommunikáció a továbbítás időpontjában tekintendő kézbesítettnek; amennyiben ez az időpont a kézhezvétel helye szerinti munkaidőn kívül esik, a kézbesítés időpontja a továbbítást követő első munkanap munkaideje alatt van. A munkaidő helyi idő szerint hétfőtől péntekig 9:00 és 18:00 óra között értendő, kivéve a munkaszüneti napokat.</w:t>
            </w:r>
          </w:p>
        </w:tc>
        <w:tc>
          <w:tcPr/>
          <w:p w:rsidR="00000000" w:rsidDel="00000000" w:rsidP="00000000" w:rsidRDefault="00000000" w:rsidRPr="00000000" w14:paraId="0000010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Any notice or other communication under this Agreement must be in a form reproducible in writing and sent to the e-mail address specified on the signature page. Such notice or communication shall be deemed received at the time of transmission, or, if this time falls outside business hours in the place of receipt, when business hours resume (business hours means 9.00am to 6.00pm Monday to Friday on a day that is not a public holiday in the place of receipt).</w:t>
            </w:r>
          </w:p>
        </w:tc>
      </w:tr>
      <w:tr>
        <w:trPr>
          <w:cantSplit w:val="0"/>
          <w:tblHeader w:val="0"/>
        </w:trPr>
        <w:tc>
          <w:tcPr/>
          <w:p w:rsidR="00000000" w:rsidDel="00000000" w:rsidP="00000000" w:rsidRDefault="00000000" w:rsidRPr="00000000" w14:paraId="00000107">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12.5.</w:t>
            </w:r>
            <w:r w:rsidDel="00000000" w:rsidR="00000000" w:rsidRPr="00000000">
              <w:rPr>
                <w:rFonts w:ascii="Times New Roman" w:cs="Times New Roman" w:eastAsia="Times New Roman" w:hAnsi="Times New Roman"/>
                <w:b w:val="1"/>
                <w:bCs w:val="1"/>
                <w:sz w:val="22"/>
                <w:szCs w:val="22"/>
                <w:rtl w:val="0"/>
              </w:rPr>
              <w:tab/>
              <w:t xml:space="preserve">Befektetői Többség</w:t>
            </w:r>
          </w:p>
        </w:tc>
        <w:tc>
          <w:tcPr/>
          <w:p w:rsidR="00000000" w:rsidDel="00000000" w:rsidP="00000000" w:rsidRDefault="00000000" w:rsidRPr="00000000" w14:paraId="00000108">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12.5</w:t>
            </w:r>
            <w:r w:rsidDel="00000000" w:rsidR="00000000" w:rsidRPr="00000000">
              <w:rPr>
                <w:rFonts w:ascii="Times New Roman" w:cs="Times New Roman" w:eastAsia="Times New Roman" w:hAnsi="Times New Roman"/>
                <w:b w:val="1"/>
                <w:bCs w:val="1"/>
                <w:sz w:val="22"/>
                <w:szCs w:val="22"/>
                <w:rtl w:val="0"/>
              </w:rPr>
              <w:tab/>
              <w:t xml:space="preserve">Investor Majority</w:t>
            </w:r>
          </w:p>
        </w:tc>
      </w:tr>
      <w:tr>
        <w:trPr>
          <w:cantSplit w:val="0"/>
          <w:tblHeader w:val="0"/>
        </w:trPr>
        <w:tc>
          <w:tcPr/>
          <w:p w:rsidR="00000000" w:rsidDel="00000000" w:rsidP="00000000" w:rsidRDefault="00000000" w:rsidRPr="00000000" w14:paraId="0000010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Befektető visszavonhatatlanul tudomásul veszi és elfogadja, hogy a Befektetői Többség által a Szerződés vonatkozásában hozott bármely határozat, döntés vagy intézkedés a Befektetőre nézve kötelező erejű, függetlenül a Befektető egyedi álláspontjától vagy véleményétől, továbbá attól, hogy a Befektetői Többséget alkotó bármely személy a Szerződés, illetve bármely más konvertálható kölcsönmegállapodás aláírója vagy részese-e.</w:t>
            </w:r>
          </w:p>
        </w:tc>
        <w:tc>
          <w:tcPr/>
          <w:p w:rsidR="00000000" w:rsidDel="00000000" w:rsidP="00000000" w:rsidRDefault="00000000" w:rsidRPr="00000000" w14:paraId="0000010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Investor agrees that any action taken by the Investor Majority in connection with this Agreement shall be binding on the Investor, irrespective of its own individual opinion and irrespective of whether any person constituting the Investor Majority is a party to this Agreement or any other Convertible Round Loan agreement.</w:t>
            </w:r>
          </w:p>
        </w:tc>
      </w:tr>
      <w:tr>
        <w:trPr>
          <w:cantSplit w:val="0"/>
          <w:tblHeader w:val="0"/>
        </w:trPr>
        <w:tc>
          <w:tcPr/>
          <w:p w:rsidR="00000000" w:rsidDel="00000000" w:rsidP="00000000" w:rsidRDefault="00000000" w:rsidRPr="00000000" w14:paraId="0000010B">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12.6.</w:t>
            </w:r>
            <w:r w:rsidDel="00000000" w:rsidR="00000000" w:rsidRPr="00000000">
              <w:rPr>
                <w:rFonts w:ascii="Times New Roman" w:cs="Times New Roman" w:eastAsia="Times New Roman" w:hAnsi="Times New Roman"/>
                <w:b w:val="1"/>
                <w:bCs w:val="1"/>
                <w:sz w:val="22"/>
                <w:szCs w:val="22"/>
                <w:rtl w:val="0"/>
              </w:rPr>
              <w:tab/>
              <w:t xml:space="preserve">Kötbér</w:t>
            </w:r>
          </w:p>
        </w:tc>
        <w:tc>
          <w:tcPr/>
          <w:p w:rsidR="00000000" w:rsidDel="00000000" w:rsidP="00000000" w:rsidRDefault="00000000" w:rsidRPr="00000000" w14:paraId="0000010C">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12.6</w:t>
            </w:r>
            <w:r w:rsidDel="00000000" w:rsidR="00000000" w:rsidRPr="00000000">
              <w:rPr>
                <w:rFonts w:ascii="Times New Roman" w:cs="Times New Roman" w:eastAsia="Times New Roman" w:hAnsi="Times New Roman"/>
                <w:b w:val="1"/>
                <w:bCs w:val="1"/>
                <w:sz w:val="22"/>
                <w:szCs w:val="22"/>
                <w:rtl w:val="0"/>
              </w:rPr>
              <w:tab/>
              <w:t xml:space="preserve">Contractual penalties</w:t>
            </w:r>
          </w:p>
        </w:tc>
      </w:tr>
      <w:tr>
        <w:trPr>
          <w:cantSplit w:val="0"/>
          <w:tblHeader w:val="0"/>
        </w:trPr>
        <w:tc>
          <w:tcPr/>
          <w:p w:rsidR="00000000" w:rsidDel="00000000" w:rsidP="00000000" w:rsidRDefault="00000000" w:rsidRPr="00000000" w14:paraId="0000010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Minden kötbérfizetési kötelezettség célja a Szerződés teljesítésének biztosítása, és nem az elmulasztott kötelezettség teljesítésének helyettesítése. A kötbér megfizetése nem mentesíti a szerződésszegő Felet az adott kötelezettség teljesítése alól. A jogosult Fél köteles a szerződésszegés és annak következményeinek orvoslására előzetesen ésszerű határidőt, legfeljebb harminc (30) napot biztosítani. A jogosult kötbérigényét az így megjelölt határidő lejártát követően érvényesítheti.</w:t>
            </w:r>
          </w:p>
        </w:tc>
        <w:tc>
          <w:tcPr/>
          <w:p w:rsidR="00000000" w:rsidDel="00000000" w:rsidP="00000000" w:rsidRDefault="00000000" w:rsidRPr="00000000" w14:paraId="0000010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Each contractual penalty shall be deemed to operate as a measure for achieving the performance of this Agreement and not as a substitute for the performance. The payment of any contractual penalty shall not release the breaching party from the obligation to perform the relevant obligations. Before a Party becomes entitled to claim a contractual penalty under this Agreement, such Party must give the breaching Party a reasonable term (being not more than 30 days) to cure the breach in question and its negative consequences.      </w:t>
            </w:r>
          </w:p>
        </w:tc>
      </w:tr>
      <w:tr>
        <w:trPr>
          <w:cantSplit w:val="0"/>
          <w:tblHeader w:val="0"/>
        </w:trPr>
        <w:tc>
          <w:tcPr/>
          <w:p w:rsidR="00000000" w:rsidDel="00000000" w:rsidP="00000000" w:rsidRDefault="00000000" w:rsidRPr="00000000" w14:paraId="0000010F">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12.7.</w:t>
            </w:r>
            <w:r w:rsidDel="00000000" w:rsidR="00000000" w:rsidRPr="00000000">
              <w:rPr>
                <w:rFonts w:ascii="Times New Roman" w:cs="Times New Roman" w:eastAsia="Times New Roman" w:hAnsi="Times New Roman"/>
                <w:b w:val="1"/>
                <w:bCs w:val="1"/>
                <w:sz w:val="22"/>
                <w:szCs w:val="22"/>
                <w:rtl w:val="0"/>
              </w:rPr>
              <w:tab/>
              <w:t xml:space="preserve">Jogok és kötelezettségek átruházása</w:t>
            </w:r>
          </w:p>
        </w:tc>
        <w:tc>
          <w:tcPr/>
          <w:p w:rsidR="00000000" w:rsidDel="00000000" w:rsidP="00000000" w:rsidRDefault="00000000" w:rsidRPr="00000000" w14:paraId="00000110">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12.7</w:t>
            </w:r>
            <w:r w:rsidDel="00000000" w:rsidR="00000000" w:rsidRPr="00000000">
              <w:rPr>
                <w:rFonts w:ascii="Times New Roman" w:cs="Times New Roman" w:eastAsia="Times New Roman" w:hAnsi="Times New Roman"/>
                <w:b w:val="1"/>
                <w:bCs w:val="1"/>
                <w:sz w:val="22"/>
                <w:szCs w:val="22"/>
                <w:rtl w:val="0"/>
              </w:rPr>
              <w:tab/>
              <w:t xml:space="preserve">Transfer of rights and obligations</w:t>
            </w:r>
          </w:p>
        </w:tc>
      </w:tr>
      <w:tr>
        <w:trPr>
          <w:cantSplit w:val="0"/>
          <w:tblHeader w:val="0"/>
        </w:trPr>
        <w:tc>
          <w:tcPr/>
          <w:p w:rsidR="00000000" w:rsidDel="00000000" w:rsidP="00000000" w:rsidRDefault="00000000" w:rsidRPr="00000000" w14:paraId="00000111">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Egyik Fél sem jogosult a Szerződésben foglalt jogait vagy kötelezettségeit harmadik félre átruházni a többi Fél előzetes, írásbeli hozzájárulása nélkül, kivéve, ha a Befektető a Szerződés szerinti jogait és kötelezettségeit bármely kapcsolt vállalkozására ruházza át. A Szerződésben „</w:t>
            </w:r>
            <w:r w:rsidDel="00000000" w:rsidR="00000000" w:rsidRPr="00000000">
              <w:rPr>
                <w:rFonts w:ascii="Times New Roman" w:cs="Times New Roman" w:eastAsia="Times New Roman" w:hAnsi="Times New Roman"/>
                <w:b w:val="1"/>
                <w:bCs w:val="1"/>
                <w:sz w:val="22"/>
                <w:szCs w:val="22"/>
                <w:rtl w:val="0"/>
              </w:rPr>
              <w:t xml:space="preserve">Kapcsolt Vállalkozásnak</w:t>
            </w:r>
            <w:r w:rsidDel="00000000" w:rsidR="00000000" w:rsidRPr="00000000">
              <w:rPr>
                <w:rFonts w:ascii="Times New Roman" w:cs="Times New Roman" w:eastAsia="Times New Roman" w:hAnsi="Times New Roman"/>
                <w:sz w:val="22"/>
                <w:szCs w:val="22"/>
                <w:rtl w:val="0"/>
              </w:rPr>
              <w:t xml:space="preserve">” minősül az a jogi személy, amely egy másik jogi személy irányítása alatt áll, amely felett egy másik jogi személy irányítást gyakorol, vagy amely közös irányítás alatt áll egy másik jogi személlyel. Befektetési alap kezelője által kezelt befektetési alap esetében „Kapcsolt Vállalkozásnak” minősül: (a) bármely más befektetési alap, amelyet ugyanazon alapkezelő kezel; (b) olyan társaság, amely felett az adott alapkezelő irányítást gyakorol, vagy amely közös irányítás alatt áll az alapkezelővel; vagy (c) az adott befektetési alap bármely résztvevője, tulajdonosa, partnere vagy egyéb jogosultja, de kizárólag az adott befektetési alap megszűnésével, illetve az adott befektetési alap vagyonának a rendes üzletmenet szerinti működéséből fakadó szétosztásával összefüggésben.</w:t>
            </w:r>
          </w:p>
        </w:tc>
        <w:tc>
          <w:tcPr/>
          <w:p w:rsidR="00000000" w:rsidDel="00000000" w:rsidP="00000000" w:rsidRDefault="00000000" w:rsidRPr="00000000" w14:paraId="00000112">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 Party has the right to transfer its rights or obligations under this Agreement to any third party without the prior consent of all other Parties in a form reproducible in writing, except that the Investor shall be entitled, without any consent of any other Party, to transfer its rights and obligations under this Agreement to any of its Affiliates. In this Agreement, an “</w:t>
            </w:r>
            <w:r w:rsidDel="00000000" w:rsidR="00000000" w:rsidRPr="00000000">
              <w:rPr>
                <w:rFonts w:ascii="Times New Roman" w:cs="Times New Roman" w:eastAsia="Times New Roman" w:hAnsi="Times New Roman"/>
                <w:b w:val="1"/>
                <w:bCs w:val="1"/>
                <w:sz w:val="22"/>
                <w:szCs w:val="22"/>
                <w:rtl w:val="0"/>
              </w:rPr>
              <w:t xml:space="preserve">Affiliate</w:t>
            </w:r>
            <w:r w:rsidDel="00000000" w:rsidR="00000000" w:rsidRPr="00000000">
              <w:rPr>
                <w:rFonts w:ascii="Times New Roman" w:cs="Times New Roman" w:eastAsia="Times New Roman" w:hAnsi="Times New Roman"/>
                <w:sz w:val="22"/>
                <w:szCs w:val="22"/>
                <w:rtl w:val="0"/>
              </w:rPr>
              <w:t xml:space="preserve">” means a person Controlled, Controlling or under common Control with the relevant person and, in the case of an investment fund managed by a fund manager, (a) any other investment fund managed by that fund manager; or (b) a company Controlled, Controlling or under common Control with that fund manager; or (c) any participant, unitholder, partner in or shareholder of any such investment fund, but only in connection with the dissolution of such investment fund or any distribution of the assets of such investment fund pursuant to the operation of the investment fund in its ordinary course of business. “Control”, “Controlling” and “Controlled” shall refer to a relationship in which a person is a controlled person of another person within the meaning of Article      8:2 of the      Civil Code).</w:t>
            </w:r>
          </w:p>
        </w:tc>
      </w:tr>
      <w:tr>
        <w:trPr>
          <w:cantSplit w:val="0"/>
          <w:tblHeader w:val="0"/>
        </w:trPr>
        <w:tc>
          <w:tcPr/>
          <w:p w:rsidR="00000000" w:rsidDel="00000000" w:rsidP="00000000" w:rsidRDefault="00000000" w:rsidRPr="00000000" w14:paraId="00000113">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12.8.</w:t>
            </w:r>
            <w:r w:rsidDel="00000000" w:rsidR="00000000" w:rsidRPr="00000000">
              <w:rPr>
                <w:rFonts w:ascii="Times New Roman" w:cs="Times New Roman" w:eastAsia="Times New Roman" w:hAnsi="Times New Roman"/>
                <w:b w:val="1"/>
                <w:bCs w:val="1"/>
                <w:sz w:val="22"/>
                <w:szCs w:val="22"/>
                <w:rtl w:val="0"/>
              </w:rPr>
              <w:tab/>
              <w:t xml:space="preserve">Költségek</w:t>
            </w:r>
          </w:p>
        </w:tc>
        <w:tc>
          <w:tcPr/>
          <w:p w:rsidR="00000000" w:rsidDel="00000000" w:rsidP="00000000" w:rsidRDefault="00000000" w:rsidRPr="00000000" w14:paraId="00000114">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12.8</w:t>
            </w:r>
            <w:r w:rsidDel="00000000" w:rsidR="00000000" w:rsidRPr="00000000">
              <w:rPr>
                <w:rFonts w:ascii="Times New Roman" w:cs="Times New Roman" w:eastAsia="Times New Roman" w:hAnsi="Times New Roman"/>
                <w:b w:val="1"/>
                <w:bCs w:val="1"/>
                <w:sz w:val="22"/>
                <w:szCs w:val="22"/>
                <w:rtl w:val="0"/>
              </w:rPr>
              <w:tab/>
              <w:t xml:space="preserve">Costs</w:t>
            </w:r>
          </w:p>
        </w:tc>
      </w:tr>
      <w:tr>
        <w:trPr>
          <w:cantSplit w:val="0"/>
          <w:tblHeader w:val="0"/>
        </w:trPr>
        <w:tc>
          <w:tcPr/>
          <w:p w:rsidR="00000000" w:rsidDel="00000000" w:rsidP="00000000" w:rsidRDefault="00000000" w:rsidRPr="00000000" w14:paraId="00000115">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Minden Fél maga viseli a Szerződés tárgyalásával, előkészítésével, megkötésével és teljesítésével kapcsolatos költségeit.</w:t>
            </w:r>
          </w:p>
        </w:tc>
        <w:tc>
          <w:tcPr/>
          <w:p w:rsidR="00000000" w:rsidDel="00000000" w:rsidP="00000000" w:rsidRDefault="00000000" w:rsidRPr="00000000" w14:paraId="00000116">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Each Party shall bear its own costs in connection with the negotiations, preparation, entry into and performance of this Agreement.</w:t>
            </w:r>
          </w:p>
        </w:tc>
      </w:tr>
      <w:tr>
        <w:trPr>
          <w:cantSplit w:val="0"/>
          <w:tblHeader w:val="0"/>
        </w:trPr>
        <w:tc>
          <w:tcPr/>
          <w:p w:rsidR="00000000" w:rsidDel="00000000" w:rsidP="00000000" w:rsidRDefault="00000000" w:rsidRPr="00000000" w14:paraId="00000117">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12.9.</w:t>
            </w:r>
            <w:r w:rsidDel="00000000" w:rsidR="00000000" w:rsidRPr="00000000">
              <w:rPr>
                <w:rFonts w:ascii="Times New Roman" w:cs="Times New Roman" w:eastAsia="Times New Roman" w:hAnsi="Times New Roman"/>
                <w:b w:val="1"/>
                <w:bCs w:val="1"/>
                <w:sz w:val="22"/>
                <w:szCs w:val="22"/>
                <w:rtl w:val="0"/>
              </w:rPr>
              <w:tab/>
              <w:t xml:space="preserve">Irányadó jog</w:t>
            </w:r>
          </w:p>
        </w:tc>
        <w:tc>
          <w:tcPr/>
          <w:p w:rsidR="00000000" w:rsidDel="00000000" w:rsidP="00000000" w:rsidRDefault="00000000" w:rsidRPr="00000000" w14:paraId="00000118">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12.9</w:t>
            </w:r>
            <w:r w:rsidDel="00000000" w:rsidR="00000000" w:rsidRPr="00000000">
              <w:rPr>
                <w:rFonts w:ascii="Times New Roman" w:cs="Times New Roman" w:eastAsia="Times New Roman" w:hAnsi="Times New Roman"/>
                <w:b w:val="1"/>
                <w:bCs w:val="1"/>
                <w:sz w:val="22"/>
                <w:szCs w:val="22"/>
                <w:rtl w:val="0"/>
              </w:rPr>
              <w:tab/>
              <w:t xml:space="preserve">Applicable law</w:t>
            </w:r>
          </w:p>
        </w:tc>
      </w:tr>
      <w:tr>
        <w:trPr>
          <w:cantSplit w:val="0"/>
          <w:tblHeader w:val="0"/>
        </w:trPr>
        <w:tc>
          <w:tcPr/>
          <w:p w:rsidR="00000000" w:rsidDel="00000000" w:rsidP="00000000" w:rsidRDefault="00000000" w:rsidRPr="00000000" w14:paraId="00000119">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Jelen Szerződésre, valamint az abból eredő vagy azzal kapcsolatos valamennyi követésre és jogviszonyra (ideértve a szerződésen kívüli igényeket is) Magyarország joga irányadó, a kollíziós szabályok figyelembevétele nélkül.</w:t>
            </w:r>
          </w:p>
        </w:tc>
        <w:tc>
          <w:tcPr/>
          <w:p w:rsidR="00000000" w:rsidDel="00000000" w:rsidP="00000000" w:rsidRDefault="00000000" w:rsidRPr="00000000" w14:paraId="0000011A">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Agreement and any rights or claims arising out of or in connection with this Agreement (including any non-contractual claims) shall be governed by the substantive law of      Hungary without giving effect to any conflicts of law rules.</w:t>
            </w:r>
          </w:p>
        </w:tc>
      </w:tr>
      <w:tr>
        <w:trPr>
          <w:cantSplit w:val="0"/>
          <w:tblHeader w:val="0"/>
        </w:trPr>
        <w:tc>
          <w:tcPr/>
          <w:p w:rsidR="00000000" w:rsidDel="00000000" w:rsidP="00000000" w:rsidRDefault="00000000" w:rsidRPr="00000000" w14:paraId="0000011B">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12.10.</w:t>
              <w:tab/>
            </w:r>
            <w:r w:rsidDel="00000000" w:rsidR="00000000" w:rsidRPr="00000000">
              <w:rPr>
                <w:rFonts w:ascii="Times New Roman" w:cs="Times New Roman" w:eastAsia="Times New Roman" w:hAnsi="Times New Roman"/>
                <w:b w:val="1"/>
                <w:bCs w:val="1"/>
                <w:sz w:val="22"/>
                <w:szCs w:val="22"/>
                <w:rtl w:val="0"/>
              </w:rPr>
              <w:t xml:space="preserve">Joghatóság</w:t>
            </w:r>
          </w:p>
        </w:tc>
        <w:tc>
          <w:tcPr/>
          <w:p w:rsidR="00000000" w:rsidDel="00000000" w:rsidP="00000000" w:rsidRDefault="00000000" w:rsidRPr="00000000" w14:paraId="0000011C">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12.10</w:t>
            </w:r>
            <w:r w:rsidDel="00000000" w:rsidR="00000000" w:rsidRPr="00000000">
              <w:rPr>
                <w:rFonts w:ascii="Times New Roman" w:cs="Times New Roman" w:eastAsia="Times New Roman" w:hAnsi="Times New Roman"/>
                <w:b w:val="1"/>
                <w:bCs w:val="1"/>
                <w:sz w:val="22"/>
                <w:szCs w:val="22"/>
                <w:rtl w:val="0"/>
              </w:rPr>
              <w:tab/>
              <w:t xml:space="preserve">Jurisdiction</w:t>
            </w:r>
          </w:p>
        </w:tc>
      </w:tr>
      <w:tr>
        <w:trPr>
          <w:cantSplit w:val="0"/>
          <w:tblHeader w:val="0"/>
        </w:trPr>
        <w:tc>
          <w:tcPr/>
          <w:p w:rsidR="00000000" w:rsidDel="00000000" w:rsidP="00000000" w:rsidRDefault="00000000" w:rsidRPr="00000000" w14:paraId="0000011D">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ALTERNATÍVA: (választottbíróság Budapesten)] Bármely vita elbírálására, amely a jelen szerződésből vagy azzal összefüggésben, így különösen annak megszegésével, megszűnésével, érvényességével vagy értelmezésével kapcsolatban keletkezik, a felek az állami bírósági utat kizárják és alávetik magukat a Magyar Kereskedelmi és Iparkamara mellett működő Állandó Választottbíróság (Kereskedelmi Választottbíróság Budapest) kizárólagos és végleges döntésének azzal, hogy a Választottbíróság a saját (Gyorsított Eljárásra vonatkozó Alszabályzat rendelkezéseivel kiegészített) Eljárási Szabályzata szerint jár el, az eljáró választottbíró(k) száma…(három/egy) és az eljárás során a … (pl. magyar/német/angol) nyelvet kell alkalmazni. A felek kizárják a választottbíráskodásról szóló 2017. évi LX. törvény IX. Fejezetében szabályozott eljárásújítás lehetőségét. A jogvita eldöntésére alkalmazandó anyagi jog a … jog, ide nem értve annak nemzetközi magánjogi szabályait.</w:t>
            </w:r>
          </w:p>
        </w:tc>
        <w:tc>
          <w:tcPr/>
          <w:p w:rsidR="00000000" w:rsidDel="00000000" w:rsidP="00000000" w:rsidRDefault="00000000" w:rsidRPr="00000000" w14:paraId="0000011E">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[OPTION 1 (arbitration in Budapest)] In the event of any dispute      arising      from or in connection with the present contract, so especially with its breach, termination, validity or interpretation, the parties exclude the state court procedure and agree to submit the matter to the exclusive and final decision of the Permanent Arbitration Court      attached to the Hungarian Chamber of Commerce and Industry      (Commercial Arbitration Court Budapest). The Arbitration Court proceeds in accordance with its      own Rules of Proceedings (supplemented with the provisions of the Sub-Rules of Expedited Proceedings). The      number of      arbitrators shall be      3/1 (three/one) and the language      to be used in the      arbitral proceedings shall be English. The parties exclude the possibility of the retrial of the proceedings as regulated in Section IX of Act no. LX of 2017 on Arbitration.</w:t>
            </w:r>
          </w:p>
        </w:tc>
      </w:tr>
      <w:tr>
        <w:trPr>
          <w:cantSplit w:val="0"/>
          <w:tblHeader w:val="0"/>
        </w:trPr>
        <w:tc>
          <w:tcPr/>
          <w:p w:rsidR="00000000" w:rsidDel="00000000" w:rsidP="00000000" w:rsidRDefault="00000000" w:rsidRPr="00000000" w14:paraId="0000011F">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 ALTERNATÍVA – Rendes bíróságok Magyarországon:] Jelen Megállapodásból eredő vagy azzal összefüggésben felmerülő vita, igény vagy értelmezési kérdés tekintetében a Felek a magyar állami bíróságok kizárólagos illetékességét kötik ki.</w:t>
            </w:r>
          </w:p>
        </w:tc>
        <w:tc>
          <w:tcPr/>
          <w:p w:rsidR="00000000" w:rsidDel="00000000" w:rsidP="00000000" w:rsidRDefault="00000000" w:rsidRPr="00000000" w14:paraId="00000120">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[Alternative 2 general courts in Hungary: Any dispute, controversy or claim arising out of or in connection with this Agreement shall be subject to jurisdiction of      the ordinary courts in Hungary.]</w:t>
            </w:r>
          </w:p>
        </w:tc>
      </w:tr>
      <w:tr>
        <w:trPr>
          <w:cantSplit w:val="0"/>
          <w:tblHeader w:val="0"/>
        </w:trPr>
        <w:tc>
          <w:tcPr/>
          <w:p w:rsidR="00000000" w:rsidDel="00000000" w:rsidP="00000000" w:rsidRDefault="00000000" w:rsidRPr="00000000" w14:paraId="00000121">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12.11.</w:t>
            </w:r>
            <w:r w:rsidDel="00000000" w:rsidR="00000000" w:rsidRPr="00000000">
              <w:rPr>
                <w:rFonts w:ascii="Times New Roman" w:cs="Times New Roman" w:eastAsia="Times New Roman" w:hAnsi="Times New Roman"/>
                <w:b w:val="1"/>
                <w:bCs w:val="1"/>
                <w:sz w:val="22"/>
                <w:szCs w:val="22"/>
                <w:rtl w:val="0"/>
              </w:rPr>
              <w:tab/>
              <w:t xml:space="preserve">Megállapodás létrejötte és kelte</w:t>
            </w:r>
          </w:p>
        </w:tc>
        <w:tc>
          <w:tcPr/>
          <w:p w:rsidR="00000000" w:rsidDel="00000000" w:rsidP="00000000" w:rsidRDefault="00000000" w:rsidRPr="00000000" w14:paraId="00000122">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12.11</w:t>
            </w:r>
            <w:r w:rsidDel="00000000" w:rsidR="00000000" w:rsidRPr="00000000">
              <w:rPr>
                <w:rFonts w:ascii="Times New Roman" w:cs="Times New Roman" w:eastAsia="Times New Roman" w:hAnsi="Times New Roman"/>
                <w:b w:val="1"/>
                <w:bCs w:val="1"/>
                <w:sz w:val="22"/>
                <w:szCs w:val="22"/>
                <w:rtl w:val="0"/>
              </w:rPr>
              <w:tab/>
              <w:t xml:space="preserve">Conclusion and date</w:t>
            </w:r>
          </w:p>
        </w:tc>
      </w:tr>
      <w:tr>
        <w:trPr>
          <w:cantSplit w:val="0"/>
          <w:tblHeader w:val="0"/>
        </w:trPr>
        <w:tc>
          <w:tcPr/>
          <w:p w:rsidR="00000000" w:rsidDel="00000000" w:rsidP="00000000" w:rsidRDefault="00000000" w:rsidRPr="00000000" w14:paraId="00000123">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Szerződés valamennyi Fél általi aláírással jön létre.</w:t>
            </w:r>
          </w:p>
        </w:tc>
        <w:tc>
          <w:tcPr/>
          <w:p w:rsidR="00000000" w:rsidDel="00000000" w:rsidP="00000000" w:rsidRDefault="00000000" w:rsidRPr="00000000" w14:paraId="00000124">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Agreement is deemed concluded if signed by all Parties</w:t>
            </w:r>
            <w:r w:rsidDel="00000000" w:rsidR="00000000" w:rsidRPr="00000000">
              <w:rPr>
                <w:rFonts w:ascii="Times New Roman" w:cs="Times New Roman" w:eastAsia="Times New Roman" w:hAnsi="Times New Roman"/>
                <w:strike w:val="1"/>
                <w:sz w:val="22"/>
                <w:szCs w:val="22"/>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25">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MELLÉKLETEK</w:t>
            </w:r>
          </w:p>
        </w:tc>
        <w:tc>
          <w:tcPr/>
          <w:p w:rsidR="00000000" w:rsidDel="00000000" w:rsidP="00000000" w:rsidRDefault="00000000" w:rsidRPr="00000000" w14:paraId="00000126">
            <w:pPr>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SCHEDULES</w:t>
            </w:r>
          </w:p>
        </w:tc>
      </w:tr>
      <w:tr>
        <w:trPr>
          <w:cantSplit w:val="0"/>
          <w:tblHeader w:val="0"/>
        </w:trPr>
        <w:tc>
          <w:tcPr/>
          <w:p w:rsidR="00000000" w:rsidDel="00000000" w:rsidP="00000000" w:rsidRDefault="00000000" w:rsidRPr="00000000" w14:paraId="00000127">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Szerződés az alábbi Mellékleteket tartalmazza:</w:t>
            </w:r>
          </w:p>
        </w:tc>
        <w:tc>
          <w:tcPr/>
          <w:p w:rsidR="00000000" w:rsidDel="00000000" w:rsidP="00000000" w:rsidRDefault="00000000" w:rsidRPr="00000000" w14:paraId="00000128">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This Agreement has the following Schedules:</w:t>
            </w:r>
          </w:p>
        </w:tc>
      </w:tr>
      <w:tr>
        <w:trPr>
          <w:cantSplit w:val="0"/>
          <w:tblHeader w:val="0"/>
        </w:trPr>
        <w:tc>
          <w:tcPr/>
          <w:p w:rsidR="00000000" w:rsidDel="00000000" w:rsidP="00000000" w:rsidRDefault="00000000" w:rsidRPr="00000000" w14:paraId="00000129">
            <w:pPr>
              <w:jc w:val="both"/>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12A">
            <w:pPr>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 melléklet: Szavatosságok - available in English</w:t>
            </w:r>
          </w:p>
        </w:tc>
        <w:tc>
          <w:tcPr/>
          <w:p w:rsidR="00000000" w:rsidDel="00000000" w:rsidP="00000000" w:rsidRDefault="00000000" w:rsidRPr="00000000" w14:paraId="0000012C">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Schedule 1: Warranties</w:t>
            </w:r>
          </w:p>
        </w:tc>
      </w:tr>
    </w:tbl>
    <w:p w:rsidR="00000000" w:rsidDel="00000000" w:rsidP="00000000" w:rsidRDefault="00000000" w:rsidRPr="00000000" w14:paraId="0000012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2"/>
          <w:szCs w:val="22"/>
        </w:rPr>
      </w:pPr>
      <w:r w:rsidDel="00000000" w:rsidR="00000000" w:rsidRPr="00000000">
        <w:rPr>
          <w:rtl w:val="0"/>
        </w:rPr>
      </w:r>
    </w:p>
    <w:sdt>
      <w:sdtPr>
        <w:lock w:val="contentLocked"/>
        <w:id w:val="1929501354"/>
        <w:tag w:val="goog_rdk_0"/>
      </w:sdtPr>
      <w:sdtContent>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spacing w:after="0" w:before="240" w:line="276" w:lineRule="auto"/>
                  <w:jc w:val="center"/>
                  <w:rPr>
                    <w:rFonts w:ascii="Times New Roman" w:cs="Times New Roman" w:eastAsia="Times New Roman" w:hAnsi="Times New Roman"/>
                    <w:b w:val="1"/>
                    <w:bCs w:val="1"/>
                    <w:smallCaps w:val="1"/>
                    <w:sz w:val="22"/>
                    <w:szCs w:val="22"/>
                  </w:rPr>
                </w:pPr>
                <w:bookmarkStart w:colFirst="0" w:colLast="0" w:name="_heading=h.vvzpqz3sr4rl" w:id="1"/>
                <w:bookmarkEnd w:id="1"/>
                <w:r w:rsidDel="00000000" w:rsidR="00000000" w:rsidRPr="00000000">
                  <w:rPr>
                    <w:rFonts w:ascii="Times New Roman" w:cs="Times New Roman" w:eastAsia="Times New Roman" w:hAnsi="Times New Roman"/>
                    <w:b w:val="1"/>
                    <w:bCs w:val="1"/>
                    <w:smallCaps w:val="1"/>
                    <w:sz w:val="22"/>
                    <w:szCs w:val="22"/>
                    <w:rtl w:val="0"/>
                  </w:rPr>
                  <w:t xml:space="preserve">Schedule 1</w:t>
                </w:r>
              </w:p>
              <w:p w:rsidR="00000000" w:rsidDel="00000000" w:rsidP="00000000" w:rsidRDefault="00000000" w:rsidRPr="00000000" w14:paraId="00000130">
                <w:pPr>
                  <w:spacing w:after="0" w:before="240" w:line="276" w:lineRule="auto"/>
                  <w:jc w:val="center"/>
                  <w:rPr>
                    <w:rFonts w:ascii="Times New Roman" w:cs="Times New Roman" w:eastAsia="Times New Roman" w:hAnsi="Times New Roman"/>
                    <w:sz w:val="22"/>
                    <w:szCs w:val="22"/>
                  </w:rPr>
                </w:pPr>
                <w:bookmarkStart w:colFirst="0" w:colLast="0" w:name="_heading=h.nmf14n" w:id="2"/>
                <w:bookmarkEnd w:id="2"/>
                <w:r w:rsidDel="00000000" w:rsidR="00000000" w:rsidRPr="00000000">
                  <w:rPr>
                    <w:rFonts w:ascii="Times New Roman" w:cs="Times New Roman" w:eastAsia="Times New Roman" w:hAnsi="Times New Roman"/>
                    <w:b w:val="1"/>
                    <w:bCs w:val="1"/>
                    <w:smallCaps w:val="1"/>
                    <w:sz w:val="22"/>
                    <w:szCs w:val="22"/>
                    <w:rtl w:val="0"/>
                  </w:rPr>
                  <w:t xml:space="preserve">WARRANTIES</w:t>
                </w:r>
                <w:r w:rsidDel="00000000" w:rsidR="00000000" w:rsidRPr="00000000">
                  <w:rPr>
                    <w:rFonts w:ascii="Times New Roman" w:cs="Times New Roman" w:eastAsia="Times New Roman" w:hAnsi="Times New Roman"/>
                    <w:b w:val="1"/>
                    <w:bCs w:val="1"/>
                    <w:smallCaps w:val="1"/>
                    <w:sz w:val="22"/>
                    <w:szCs w:val="22"/>
                    <w:vertAlign w:val="superscript"/>
                  </w:rPr>
                  <w:footnoteReference w:customMarkFollows="0" w:id="21"/>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1"/>
                  <w:keepLines w:val="1"/>
                  <w:numPr>
                    <w:ilvl w:val="0"/>
                    <w:numId w:val="1"/>
                  </w:numPr>
                  <w:spacing w:after="120" w:before="24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mallCaps w:val="1"/>
                    <w:sz w:val="22"/>
                    <w:szCs w:val="22"/>
                    <w:rtl w:val="0"/>
                  </w:rPr>
                  <w:t xml:space="preserve">CORPORATE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Corporate existence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tabs>
                    <w:tab w:val="left" w:leader="none" w:pos="709"/>
                  </w:tabs>
                  <w:spacing w:after="120" w:line="276" w:lineRule="auto"/>
                  <w:ind w:left="0" w:firstLine="0"/>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The Company is duly organised and validly existing under the laws of Hungary. No order has been made, no resolution has been passed, no petition has been submitted and no shareholders’ meeting has been convened, or other action taken to initiate any bankruptcy, reorganisation, liquidation, dissolution, merger, division or transformation of the Company.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Public registers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tabs>
                    <w:tab w:val="left" w:leader="none" w:pos="709"/>
                  </w:tabs>
                  <w:spacing w:after="120" w:line="276" w:lineRule="auto"/>
                  <w:ind w:lef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information regarding the Company available from the public registers as at the Signing Date is accurate and nothing has occurred that would require any change or update in such information. There are no pending applications or filings of any kind with respect to the Company to any public register.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Right to issue Conversion Shares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tabs>
                    <w:tab w:val="left" w:leader="none" w:pos="709"/>
                  </w:tabs>
                  <w:spacing w:after="120" w:line="276" w:lineRule="auto"/>
                  <w:ind w:lef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Approval Agreement entered into by the shareholders of the Company is valid and has not been terminated.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bookmarkStart w:colFirst="0" w:colLast="0" w:name="_heading=h.37m2jsg" w:id="3"/>
                <w:bookmarkEnd w:id="3"/>
                <w:r w:rsidDel="00000000" w:rsidR="00000000" w:rsidRPr="00000000">
                  <w:rPr>
                    <w:rFonts w:ascii="Times New Roman" w:cs="Times New Roman" w:eastAsia="Times New Roman" w:hAnsi="Times New Roman"/>
                    <w:b w:val="1"/>
                    <w:bCs w:val="1"/>
                    <w:sz w:val="22"/>
                    <w:szCs w:val="22"/>
                    <w:rtl w:val="0"/>
                  </w:rPr>
                  <w:t xml:space="preserve">Cap table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tabs>
                    <w:tab w:val="left" w:leader="none" w:pos="709"/>
                  </w:tabs>
                  <w:spacing w:after="120" w:line="276" w:lineRule="auto"/>
                  <w:ind w:lef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capitalization table in </w:t>
                </w:r>
                <w:r w:rsidDel="00000000" w:rsidR="00000000" w:rsidRPr="00000000">
                  <w:rPr>
                    <w:rFonts w:ascii="Times New Roman" w:cs="Times New Roman" w:eastAsia="Times New Roman" w:hAnsi="Times New Roman"/>
                    <w:sz w:val="22"/>
                    <w:szCs w:val="22"/>
                    <w:u w:val="single"/>
                    <w:rtl w:val="0"/>
                  </w:rPr>
                  <w:t xml:space="preserve">Annex 1</w:t>
                </w:r>
                <w:r w:rsidDel="00000000" w:rsidR="00000000" w:rsidRPr="00000000">
                  <w:rPr>
                    <w:rFonts w:ascii="Times New Roman" w:cs="Times New Roman" w:eastAsia="Times New Roman" w:hAnsi="Times New Roman"/>
                    <w:sz w:val="22"/>
                    <w:szCs w:val="22"/>
                    <w:rtl w:val="0"/>
                  </w:rPr>
                  <w:t xml:space="preserve"> to this </w:t>
                </w:r>
                <w:r w:rsidDel="00000000" w:rsidR="00000000" w:rsidRPr="00000000">
                  <w:rPr>
                    <w:rFonts w:ascii="Times New Roman" w:cs="Times New Roman" w:eastAsia="Times New Roman" w:hAnsi="Times New Roman"/>
                    <w:sz w:val="22"/>
                    <w:szCs w:val="22"/>
                    <w:u w:val="single"/>
                    <w:rtl w:val="0"/>
                  </w:rPr>
                  <w:t xml:space="preserve">Schedule 1</w:t>
                </w:r>
                <w:r w:rsidDel="00000000" w:rsidR="00000000" w:rsidRPr="00000000">
                  <w:rPr>
                    <w:rFonts w:ascii="Times New Roman" w:cs="Times New Roman" w:eastAsia="Times New Roman" w:hAnsi="Times New Roman"/>
                    <w:sz w:val="22"/>
                    <w:szCs w:val="22"/>
                    <w:rtl w:val="0"/>
                  </w:rPr>
                  <w:t xml:space="preserve"> is a true and correct representation of the Fully Diluted Share Capital as at the Signing Date displaying all the outstanding Shares and all the rights to Shares. All outstanding Shares have been legally and validly issued and fully paid for. To the Warrantor’s knowledge, none of the Shares are subject to any Encumbrances, except for any Encumbrances arising from the articles of association of the Company. There are no outstanding options, warrants, convertible loans, or any other rights to acquire any Shares other than (a) those set out in the capitalization table in </w:t>
                </w:r>
                <w:r w:rsidDel="00000000" w:rsidR="00000000" w:rsidRPr="00000000">
                  <w:rPr>
                    <w:rFonts w:ascii="Times New Roman" w:cs="Times New Roman" w:eastAsia="Times New Roman" w:hAnsi="Times New Roman"/>
                    <w:sz w:val="22"/>
                    <w:szCs w:val="22"/>
                    <w:u w:val="single"/>
                    <w:rtl w:val="0"/>
                  </w:rPr>
                  <w:t xml:space="preserve">Annex 1</w:t>
                </w:r>
                <w:r w:rsidDel="00000000" w:rsidR="00000000" w:rsidRPr="00000000">
                  <w:rPr>
                    <w:rFonts w:ascii="Times New Roman" w:cs="Times New Roman" w:eastAsia="Times New Roman" w:hAnsi="Times New Roman"/>
                    <w:sz w:val="22"/>
                    <w:szCs w:val="22"/>
                    <w:rtl w:val="0"/>
                  </w:rPr>
                  <w:t xml:space="preserve"> to this </w:t>
                </w:r>
                <w:r w:rsidDel="00000000" w:rsidR="00000000" w:rsidRPr="00000000">
                  <w:rPr>
                    <w:rFonts w:ascii="Times New Roman" w:cs="Times New Roman" w:eastAsia="Times New Roman" w:hAnsi="Times New Roman"/>
                    <w:sz w:val="22"/>
                    <w:szCs w:val="22"/>
                    <w:u w:val="single"/>
                    <w:rtl w:val="0"/>
                  </w:rPr>
                  <w:t xml:space="preserve">Schedule 1</w:t>
                </w:r>
                <w:r w:rsidDel="00000000" w:rsidR="00000000" w:rsidRPr="00000000">
                  <w:rPr>
                    <w:rFonts w:ascii="Times New Roman" w:cs="Times New Roman" w:eastAsia="Times New Roman" w:hAnsi="Times New Roman"/>
                    <w:sz w:val="22"/>
                    <w:szCs w:val="22"/>
                    <w:rtl w:val="0"/>
                  </w:rPr>
                  <w:t xml:space="preserve"> and (b) Convertible Round Loans. In this Agreement, an “</w:t>
                </w:r>
                <w:r w:rsidDel="00000000" w:rsidR="00000000" w:rsidRPr="00000000">
                  <w:rPr>
                    <w:rFonts w:ascii="Times New Roman" w:cs="Times New Roman" w:eastAsia="Times New Roman" w:hAnsi="Times New Roman"/>
                    <w:b w:val="1"/>
                    <w:bCs w:val="1"/>
                    <w:sz w:val="22"/>
                    <w:szCs w:val="22"/>
                    <w:rtl w:val="0"/>
                  </w:rPr>
                  <w:t xml:space="preserve">Encumbrance</w:t>
                </w:r>
                <w:r w:rsidDel="00000000" w:rsidR="00000000" w:rsidRPr="00000000">
                  <w:rPr>
                    <w:rFonts w:ascii="Times New Roman" w:cs="Times New Roman" w:eastAsia="Times New Roman" w:hAnsi="Times New Roman"/>
                    <w:sz w:val="22"/>
                    <w:szCs w:val="22"/>
                    <w:rtl w:val="0"/>
                  </w:rPr>
                  <w:t xml:space="preserve">” means (a) a security interest of any kind, including any pledge, mortgage, financial collateral arrangement, retention of title arrangement or security assignment; (b) any claim or right belonging to a third party, including any right of pre-emption, right of first refusal, option, requirement of consent, lease; (c) any other encumbrance or restriction of any kind. In this definition, a “third party” shall mean also any state, municipal or other public authority.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1"/>
                  <w:keepLines w:val="1"/>
                  <w:numPr>
                    <w:ilvl w:val="0"/>
                    <w:numId w:val="1"/>
                  </w:numPr>
                  <w:spacing w:after="120" w:before="24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mallCaps w:val="1"/>
                    <w:sz w:val="22"/>
                    <w:szCs w:val="22"/>
                    <w:rtl w:val="0"/>
                  </w:rPr>
                  <w:t xml:space="preserve">COMPLIANCE WITH LAWS AND LITIGATION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Compliance with laws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tabs>
                    <w:tab w:val="left" w:leader="none" w:pos="709"/>
                  </w:tabs>
                  <w:spacing w:after="120" w:line="276" w:lineRule="auto"/>
                  <w:ind w:lef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To the Warrantors’ knowledge, the Company has not breached any applicable laws, regulations or other acts of legislation.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No litigation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tabs>
                    <w:tab w:val="left" w:leader="none" w:pos="709"/>
                  </w:tabs>
                  <w:spacing w:after="120" w:line="276" w:lineRule="auto"/>
                  <w:ind w:lef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Company is not involved in any legal action, suit, litigation, prosecution, investigation, enquiry, arbitration or other legal or administrative proceeding and, to the Warrantors’ knowledge, there are no grounds or circumstances likely to lead to any of the foregoing. There are no outstanding judgements, awards, orders or any other acts of any court of arbitral body against the Company.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1"/>
                  <w:keepLines w:val="1"/>
                  <w:numPr>
                    <w:ilvl w:val="0"/>
                    <w:numId w:val="1"/>
                  </w:numPr>
                  <w:spacing w:after="120" w:before="24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mallCaps w:val="1"/>
                    <w:sz w:val="22"/>
                    <w:szCs w:val="22"/>
                    <w:rtl w:val="0"/>
                  </w:rPr>
                  <w:t xml:space="preserve">ASSETS AND INTELLECTUAL PROPERTY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Assets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tabs>
                    <w:tab w:val="left" w:leader="none" w:pos="709"/>
                  </w:tabs>
                  <w:spacing w:after="120" w:line="276" w:lineRule="auto"/>
                  <w:ind w:lef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Company owns or has the lawful right to use all of the assets, rights and property that it is currently using in its ordinary course of business. To the extent the Company owns relevant assets, the assets are free and clear of any Encumbrances.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1"/>
                  <w:keepLines w:val="1"/>
                  <w:numPr>
                    <w:ilvl w:val="0"/>
                    <w:numId w:val="1"/>
                  </w:numPr>
                  <w:spacing w:after="120" w:before="24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mallCaps w:val="1"/>
                    <w:sz w:val="22"/>
                    <w:szCs w:val="22"/>
                    <w:rtl w:val="0"/>
                  </w:rPr>
                  <w:t xml:space="preserve">INTELLECTUAL PROPERTY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Definitions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tabs>
                    <w:tab w:val="left" w:leader="none" w:pos="709"/>
                  </w:tabs>
                  <w:spacing w:after="120" w:line="276" w:lineRule="auto"/>
                  <w:ind w:left="0" w:firstLine="0"/>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In this Agreement, “</w:t>
                </w:r>
                <w:r w:rsidDel="00000000" w:rsidR="00000000" w:rsidRPr="00000000">
                  <w:rPr>
                    <w:rFonts w:ascii="Times New Roman" w:cs="Times New Roman" w:eastAsia="Times New Roman" w:hAnsi="Times New Roman"/>
                    <w:b w:val="1"/>
                    <w:bCs w:val="1"/>
                    <w:sz w:val="22"/>
                    <w:szCs w:val="22"/>
                    <w:rtl w:val="0"/>
                  </w:rPr>
                  <w:t xml:space="preserve">Intellectual Property</w:t>
                </w:r>
                <w:r w:rsidDel="00000000" w:rsidR="00000000" w:rsidRPr="00000000">
                  <w:rPr>
                    <w:rFonts w:ascii="Times New Roman" w:cs="Times New Roman" w:eastAsia="Times New Roman" w:hAnsi="Times New Roman"/>
                    <w:sz w:val="22"/>
                    <w:szCs w:val="22"/>
                    <w:rtl w:val="0"/>
                  </w:rPr>
                  <w:t xml:space="preserve">” means any works of authorship, trademarks, service marks, trade names, business names, logos, domain names, patents, utility models, semiconductor topographies, inventions, designs and any other intellectual property as may be recognized in any jurisdiction in the world, including any rights to such intellectual property as may be recognized in any jurisdiction in the world, and “</w:t>
                </w:r>
                <w:r w:rsidDel="00000000" w:rsidR="00000000" w:rsidRPr="00000000">
                  <w:rPr>
                    <w:rFonts w:ascii="Times New Roman" w:cs="Times New Roman" w:eastAsia="Times New Roman" w:hAnsi="Times New Roman"/>
                    <w:b w:val="1"/>
                    <w:bCs w:val="1"/>
                    <w:sz w:val="22"/>
                    <w:szCs w:val="22"/>
                    <w:rtl w:val="0"/>
                  </w:rPr>
                  <w:t xml:space="preserve">Proprietary Intellectual Property</w:t>
                </w:r>
                <w:r w:rsidDel="00000000" w:rsidR="00000000" w:rsidRPr="00000000">
                  <w:rPr>
                    <w:rFonts w:ascii="Times New Roman" w:cs="Times New Roman" w:eastAsia="Times New Roman" w:hAnsi="Times New Roman"/>
                    <w:sz w:val="22"/>
                    <w:szCs w:val="22"/>
                    <w:rtl w:val="0"/>
                  </w:rPr>
                  <w:t xml:space="preserve">” means any Intellectual Property, with respect to which the Company or any of the Founders have indicated that the Company owns the rights to such Intellectual Property.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Ownership of Proprietary Intellectual Property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tabs>
                    <w:tab w:val="left" w:leader="none" w:pos="709"/>
                  </w:tabs>
                  <w:spacing w:after="120" w:line="276" w:lineRule="auto"/>
                  <w:ind w:left="0" w:firstLine="0"/>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The Company is the exclusive owner of its Proprietary Intellectual Property. The Company’s Proprietary Intellectual Property is not subject to any joint ownership. No third person has been granted any exclusive license over the Company’s Proprietary Intellectual Property. There are no circumstances that could affect the validity or enforceability of the Company’s rights to its Proprietary Intellectual Property.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Valid transfers from original authors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8">
                <w:pPr>
                  <w:tabs>
                    <w:tab w:val="left" w:leader="none" w:pos="709"/>
                  </w:tabs>
                  <w:spacing w:after="120" w:line="276" w:lineRule="auto"/>
                  <w:ind w:left="0" w:firstLine="0"/>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None of the persons who have been involved in the development of the Company’s Proprietary Intellectual Property own any copyrights or any other rights related to such Intellectual Property, except for moral copyrights, which are not assignable under applicable law. With respect to such moral copyrights, all of the persons, who have been involved in the development of the Company’s Proprietary Intellectual Property, have granted the Company an exclusive license or any other relevant right for exercising such rights within the maximum scope allowed under applicable law for the entire validity period of such rights. To the Warrantors’ knowledge, there are no grounds under which any such person could prematurely terminate any such license.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Valid use of third-party Intellectual Property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tabs>
                    <w:tab w:val="left" w:leader="none" w:pos="709"/>
                  </w:tabs>
                  <w:spacing w:after="120" w:line="276" w:lineRule="auto"/>
                  <w:ind w:left="0" w:firstLine="0"/>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All Intellectual Property, other than Proprietary Intellectual Property, that is necessary in order to fully and effectively conduct the Company’s business as conducted at the Signing Date, is licensed to the Company without any material fees, and the Company is entitled to use such Intellectual Property in the manner and for which purpose the Company uses such Intellectual Property as at the Signing Date and in the manner and for which purpose the Company intends, as at the Signing Date, to use such Intellectual Property in the future.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No infringement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tabs>
                    <w:tab w:val="left" w:leader="none" w:pos="709"/>
                  </w:tabs>
                  <w:spacing w:after="120" w:line="276" w:lineRule="auto"/>
                  <w:ind w:left="0" w:firstLine="0"/>
                  <w:jc w:val="both"/>
                  <w:rPr>
                    <w:rFonts w:ascii="Times New Roman" w:cs="Times New Roman" w:eastAsia="Times New Roman" w:hAnsi="Times New Roman"/>
                    <w:sz w:val="22"/>
                    <w:szCs w:val="22"/>
                  </w:rPr>
                </w:pPr>
                <w:bookmarkStart w:colFirst="0" w:colLast="0" w:name="_heading=h.1mrcu09" w:id="4"/>
                <w:bookmarkEnd w:id="4"/>
                <w:r w:rsidDel="00000000" w:rsidR="00000000" w:rsidRPr="00000000">
                  <w:rPr>
                    <w:rFonts w:ascii="Times New Roman" w:cs="Times New Roman" w:eastAsia="Times New Roman" w:hAnsi="Times New Roman"/>
                    <w:sz w:val="22"/>
                    <w:szCs w:val="22"/>
                    <w:rtl w:val="0"/>
                  </w:rPr>
                  <w:t xml:space="preserve">To the Warrantor’s knowledge, the Company’s use of any Intellectual Property is not infringing the rights of any third party. To the Warrantors’ knowledge, as at the Signing Date, no third party is infringing the Company’s rights to its Proprietary Intellectual Property.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1"/>
                  <w:keepLines w:val="1"/>
                  <w:numPr>
                    <w:ilvl w:val="0"/>
                    <w:numId w:val="1"/>
                  </w:numPr>
                  <w:spacing w:after="120" w:before="24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mallCaps w:val="1"/>
                    <w:sz w:val="22"/>
                    <w:szCs w:val="22"/>
                    <w:rtl w:val="0"/>
                  </w:rPr>
                  <w:t xml:space="preserve">INFORMATION AND DOCUMENTS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1"/>
                  <w:keepLines w:val="1"/>
                  <w:numPr>
                    <w:ilvl w:val="1"/>
                    <w:numId w:val="1"/>
                  </w:numPr>
                  <w:spacing w:after="120" w:before="120" w:line="276" w:lineRule="auto"/>
                  <w:ind w:left="709"/>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Information and documents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tabs>
                    <w:tab w:val="left" w:leader="none" w:pos="709"/>
                  </w:tabs>
                  <w:spacing w:after="120" w:line="276" w:lineRule="auto"/>
                  <w:ind w:left="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All documents and information which has been provided to the Investor before the Signing Date by or on behalf of the Company in connection with the transactions contemplated under this Agreement have been correct and complete in all material respects and are, in light of the circumstances in which they are made, not misleading and give, in all material respects, a true and complete picture of the business, financial and legal condition of the Company.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spacing w:after="120" w:before="120" w:line="276" w:lineRule="auto"/>
                  <w:jc w:val="center"/>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Annex 1</w:t>
                </w:r>
              </w:p>
              <w:p w:rsidR="00000000" w:rsidDel="00000000" w:rsidP="00000000" w:rsidRDefault="00000000" w:rsidRPr="00000000" w14:paraId="00000151">
                <w:pPr>
                  <w:spacing w:after="120" w:before="120" w:line="276" w:lineRule="auto"/>
                  <w:jc w:val="center"/>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Capitalization Table</w:t>
                </w:r>
              </w:p>
              <w:p w:rsidR="00000000" w:rsidDel="00000000" w:rsidP="00000000" w:rsidRDefault="00000000" w:rsidRPr="00000000" w14:paraId="00000152">
                <w:pPr>
                  <w:spacing w:after="120" w:before="120" w:line="276" w:lineRule="auto"/>
                  <w:jc w:val="center"/>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153">
                <w:pPr>
                  <w:spacing w:after="120" w:before="120" w:line="276"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highlight w:val="lightGray"/>
                    <w:rtl w:val="0"/>
                  </w:rPr>
                  <w:t xml:space="preserve">[to be inserted]</w:t>
                </w:r>
                <w:r w:rsidDel="00000000" w:rsidR="00000000" w:rsidRPr="00000000">
                  <w:rPr>
                    <w:rtl w:val="0"/>
                  </w:rPr>
                </w:r>
              </w:p>
            </w:tc>
          </w:tr>
        </w:tbl>
      </w:sdtContent>
    </w:sdt>
    <w:p w:rsidR="00000000" w:rsidDel="00000000" w:rsidP="00000000" w:rsidRDefault="00000000" w:rsidRPr="00000000" w14:paraId="00000154">
      <w:pPr>
        <w:rPr>
          <w:rFonts w:ascii="Times New Roman" w:cs="Times New Roman" w:eastAsia="Times New Roman" w:hAnsi="Times New Roman"/>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56">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SIGNATURE PAGE</w:t>
      </w:r>
    </w:p>
    <w:p w:rsidR="00000000" w:rsidDel="00000000" w:rsidP="00000000" w:rsidRDefault="00000000" w:rsidRPr="00000000" w14:paraId="00000157">
      <w:pPr>
        <w:spacing w:after="120" w:before="240" w:line="276" w:lineRule="auto"/>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THE PARTIES HAVE SIGNED THIS AGREEMENT AS FOLLOWS:</w:t>
      </w:r>
    </w:p>
    <w:p w:rsidR="00000000" w:rsidDel="00000000" w:rsidP="00000000" w:rsidRDefault="00000000" w:rsidRPr="00000000" w14:paraId="00000158">
      <w:pPr>
        <w:keepNext w:val="1"/>
        <w:spacing w:after="120" w:before="24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THE COMPANY:</w:t>
      </w:r>
    </w:p>
    <w:tbl>
      <w:tblPr>
        <w:tblStyle w:val="Table3"/>
        <w:tblW w:w="92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43"/>
        <w:gridCol w:w="7371"/>
        <w:tblGridChange w:id="0">
          <w:tblGrid>
            <w:gridCol w:w="1843"/>
            <w:gridCol w:w="7371"/>
          </w:tblGrid>
        </w:tblGridChange>
      </w:tblGrid>
      <w:tr>
        <w:trPr>
          <w:cantSplit w:val="0"/>
          <w:tblHeader w:val="0"/>
        </w:trPr>
        <w:tc>
          <w:tcPr>
            <w:vAlign w:val="center"/>
          </w:tcPr>
          <w:p w:rsidR="00000000" w:rsidDel="00000000" w:rsidP="00000000" w:rsidRDefault="00000000" w:rsidRPr="00000000" w14:paraId="00000159">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w:t>
            </w:r>
          </w:p>
        </w:tc>
        <w:tc>
          <w:tcPr>
            <w:vAlign w:val="center"/>
          </w:tcPr>
          <w:p w:rsidR="00000000" w:rsidDel="00000000" w:rsidP="00000000" w:rsidRDefault="00000000" w:rsidRPr="00000000" w14:paraId="0000015A">
            <w:pPr>
              <w:keepNext w:val="1"/>
              <w:tabs>
                <w:tab w:val="left" w:leader="none" w:pos="2301"/>
              </w:tabs>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[Name]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incorporated</w:t>
            </w:r>
            <w:r w:rsidDel="00000000" w:rsidR="00000000" w:rsidRPr="00000000">
              <w:rPr>
                <w:rFonts w:ascii="Times New Roman" w:cs="Times New Roman" w:eastAsia="Times New Roman" w:hAnsi="Times New Roman"/>
                <w:b w:val="1"/>
                <w:bCs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under the laws of [country], Hungarian, registration number [insert]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B">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Signature:</w:t>
            </w:r>
          </w:p>
        </w:tc>
        <w:tc>
          <w:tcPr>
            <w:tcBorders>
              <w:bottom w:color="000000" w:space="0" w:sz="4" w:val="single"/>
            </w:tcBorders>
            <w:vAlign w:val="center"/>
          </w:tcPr>
          <w:p w:rsidR="00000000" w:rsidDel="00000000" w:rsidP="00000000" w:rsidRDefault="00000000" w:rsidRPr="00000000" w14:paraId="0000015C">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5D">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E">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5F">
            <w:pPr>
              <w:keepNext w:val="1"/>
              <w:spacing w:after="0" w:line="276" w:lineRule="auto"/>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0">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Represented by:</w:t>
            </w:r>
          </w:p>
        </w:tc>
        <w:tc>
          <w:tcPr>
            <w:vAlign w:val="center"/>
          </w:tcPr>
          <w:p w:rsidR="00000000" w:rsidDel="00000000" w:rsidP="00000000" w:rsidRDefault="00000000" w:rsidRPr="00000000" w14:paraId="00000161">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[name]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2">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Title</w:t>
            </w:r>
          </w:p>
        </w:tc>
        <w:tc>
          <w:tcPr>
            <w:vAlign w:val="center"/>
          </w:tcPr>
          <w:p w:rsidR="00000000" w:rsidDel="00000000" w:rsidP="00000000" w:rsidRDefault="00000000" w:rsidRPr="00000000" w14:paraId="00000163">
            <w:pPr>
              <w:keepNext w:val="1"/>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[title]</w:t>
            </w:r>
          </w:p>
        </w:tc>
      </w:tr>
      <w:tr>
        <w:trPr>
          <w:cantSplit w:val="0"/>
          <w:tblHeader w:val="0"/>
        </w:trPr>
        <w:tc>
          <w:tcPr>
            <w:vAlign w:val="center"/>
          </w:tcPr>
          <w:p w:rsidR="00000000" w:rsidDel="00000000" w:rsidP="00000000" w:rsidRDefault="00000000" w:rsidRPr="00000000" w14:paraId="00000164">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Address:</w:t>
            </w:r>
          </w:p>
        </w:tc>
        <w:tc>
          <w:tcPr>
            <w:vAlign w:val="center"/>
          </w:tcPr>
          <w:p w:rsidR="00000000" w:rsidDel="00000000" w:rsidP="00000000" w:rsidRDefault="00000000" w:rsidRPr="00000000" w14:paraId="00000165">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[address]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6">
            <w:pPr>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E-mail:</w:t>
            </w:r>
          </w:p>
        </w:tc>
        <w:tc>
          <w:tcPr>
            <w:vAlign w:val="center"/>
          </w:tcPr>
          <w:p w:rsidR="00000000" w:rsidDel="00000000" w:rsidP="00000000" w:rsidRDefault="00000000" w:rsidRPr="00000000" w14:paraId="00000167">
            <w:pPr>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[e-mail address]</w:t>
            </w:r>
            <w:r w:rsidDel="00000000" w:rsidR="00000000" w:rsidRPr="00000000">
              <w:rPr>
                <w:rtl w:val="0"/>
              </w:rPr>
            </w:r>
          </w:p>
        </w:tc>
      </w:tr>
    </w:tbl>
    <w:p w:rsidR="00000000" w:rsidDel="00000000" w:rsidP="00000000" w:rsidRDefault="00000000" w:rsidRPr="00000000" w14:paraId="00000168">
      <w:pPr>
        <w:keepNext w:val="1"/>
        <w:spacing w:after="120" w:before="24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THE FOUNDER(S)</w:t>
      </w:r>
      <w:r w:rsidDel="00000000" w:rsidR="00000000" w:rsidRPr="00000000">
        <w:rPr>
          <w:rFonts w:ascii="Times New Roman" w:cs="Times New Roman" w:eastAsia="Times New Roman" w:hAnsi="Times New Roman"/>
          <w:sz w:val="22"/>
          <w:szCs w:val="22"/>
          <w:rtl w:val="0"/>
        </w:rPr>
        <w:t xml:space="preserve">:</w:t>
      </w:r>
    </w:p>
    <w:tbl>
      <w:tblPr>
        <w:tblStyle w:val="Table4"/>
        <w:tblW w:w="92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43"/>
        <w:gridCol w:w="7371"/>
        <w:tblGridChange w:id="0">
          <w:tblGrid>
            <w:gridCol w:w="1843"/>
            <w:gridCol w:w="7371"/>
          </w:tblGrid>
        </w:tblGridChange>
      </w:tblGrid>
      <w:tr>
        <w:trPr>
          <w:cantSplit w:val="0"/>
          <w:tblHeader w:val="0"/>
        </w:trPr>
        <w:tc>
          <w:tcPr>
            <w:vAlign w:val="center"/>
          </w:tcPr>
          <w:p w:rsidR="00000000" w:rsidDel="00000000" w:rsidP="00000000" w:rsidRDefault="00000000" w:rsidRPr="00000000" w14:paraId="00000169">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w:t>
            </w:r>
          </w:p>
        </w:tc>
        <w:tc>
          <w:tcPr>
            <w:vAlign w:val="center"/>
          </w:tcPr>
          <w:p w:rsidR="00000000" w:rsidDel="00000000" w:rsidP="00000000" w:rsidRDefault="00000000" w:rsidRPr="00000000" w14:paraId="0000016A">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[Name], </w:t>
            </w:r>
            <w:r w:rsidDel="00000000" w:rsidR="00000000" w:rsidRPr="00000000">
              <w:rPr>
                <w:rFonts w:ascii="Times New Roman" w:cs="Times New Roman" w:eastAsia="Times New Roman" w:hAnsi="Times New Roman"/>
                <w:sz w:val="22"/>
                <w:szCs w:val="22"/>
                <w:rtl w:val="0"/>
              </w:rPr>
              <w:t xml:space="preserve">a citizen of [country], identity codeID card number [insert]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B">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Signature:</w:t>
            </w:r>
          </w:p>
        </w:tc>
        <w:tc>
          <w:tcPr>
            <w:tcBorders>
              <w:bottom w:color="000000" w:space="0" w:sz="4" w:val="single"/>
            </w:tcBorders>
            <w:vAlign w:val="center"/>
          </w:tcPr>
          <w:p w:rsidR="00000000" w:rsidDel="00000000" w:rsidP="00000000" w:rsidRDefault="00000000" w:rsidRPr="00000000" w14:paraId="0000016C">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6D">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E">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6F">
            <w:pPr>
              <w:keepNext w:val="1"/>
              <w:spacing w:after="0" w:line="276" w:lineRule="auto"/>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0">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Address:</w:t>
            </w:r>
          </w:p>
        </w:tc>
        <w:tc>
          <w:tcPr>
            <w:vAlign w:val="center"/>
          </w:tcPr>
          <w:p w:rsidR="00000000" w:rsidDel="00000000" w:rsidP="00000000" w:rsidRDefault="00000000" w:rsidRPr="00000000" w14:paraId="00000171">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[address]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2">
            <w:pPr>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E-mail:</w:t>
            </w:r>
          </w:p>
        </w:tc>
        <w:tc>
          <w:tcPr>
            <w:vAlign w:val="center"/>
          </w:tcPr>
          <w:p w:rsidR="00000000" w:rsidDel="00000000" w:rsidP="00000000" w:rsidRDefault="00000000" w:rsidRPr="00000000" w14:paraId="00000173">
            <w:pPr>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[e-mail address]</w:t>
            </w:r>
            <w:r w:rsidDel="00000000" w:rsidR="00000000" w:rsidRPr="00000000">
              <w:rPr>
                <w:rtl w:val="0"/>
              </w:rPr>
            </w:r>
          </w:p>
        </w:tc>
      </w:tr>
    </w:tbl>
    <w:p w:rsidR="00000000" w:rsidDel="00000000" w:rsidP="00000000" w:rsidRDefault="00000000" w:rsidRPr="00000000" w14:paraId="00000174">
      <w:pPr>
        <w:keepNext w:val="1"/>
        <w:spacing w:after="120" w:before="240" w:line="276" w:lineRule="auto"/>
        <w:jc w:val="both"/>
        <w:rPr>
          <w:rFonts w:ascii="Times New Roman" w:cs="Times New Roman" w:eastAsia="Times New Roman" w:hAnsi="Times New Roman"/>
          <w:b w:val="1"/>
          <w:bCs w:val="1"/>
          <w:sz w:val="22"/>
          <w:szCs w:val="22"/>
        </w:rPr>
      </w:pPr>
      <w:r w:rsidDel="00000000" w:rsidR="00000000" w:rsidRPr="00000000">
        <w:rPr>
          <w:rtl w:val="0"/>
        </w:rPr>
      </w:r>
    </w:p>
    <w:tbl>
      <w:tblPr>
        <w:tblStyle w:val="Table5"/>
        <w:tblW w:w="92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43"/>
        <w:gridCol w:w="7371"/>
        <w:tblGridChange w:id="0">
          <w:tblGrid>
            <w:gridCol w:w="1843"/>
            <w:gridCol w:w="7371"/>
          </w:tblGrid>
        </w:tblGridChange>
      </w:tblGrid>
      <w:tr>
        <w:trPr>
          <w:cantSplit w:val="0"/>
          <w:tblHeader w:val="0"/>
        </w:trPr>
        <w:tc>
          <w:tcPr>
            <w:vAlign w:val="center"/>
          </w:tcPr>
          <w:p w:rsidR="00000000" w:rsidDel="00000000" w:rsidP="00000000" w:rsidRDefault="00000000" w:rsidRPr="00000000" w14:paraId="00000175">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w:t>
            </w:r>
          </w:p>
        </w:tc>
        <w:tc>
          <w:tcPr>
            <w:vAlign w:val="center"/>
          </w:tcPr>
          <w:p w:rsidR="00000000" w:rsidDel="00000000" w:rsidP="00000000" w:rsidRDefault="00000000" w:rsidRPr="00000000" w14:paraId="00000176">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[Name], </w:t>
            </w:r>
            <w:r w:rsidDel="00000000" w:rsidR="00000000" w:rsidRPr="00000000">
              <w:rPr>
                <w:rFonts w:ascii="Times New Roman" w:cs="Times New Roman" w:eastAsia="Times New Roman" w:hAnsi="Times New Roman"/>
                <w:sz w:val="22"/>
                <w:szCs w:val="22"/>
                <w:rtl w:val="0"/>
              </w:rPr>
              <w:t xml:space="preserve">a citizen of [country], identity codeID card number [insert]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7">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Signature:</w:t>
            </w:r>
          </w:p>
        </w:tc>
        <w:tc>
          <w:tcPr>
            <w:tcBorders>
              <w:bottom w:color="000000" w:space="0" w:sz="4" w:val="single"/>
            </w:tcBorders>
            <w:vAlign w:val="center"/>
          </w:tcPr>
          <w:p w:rsidR="00000000" w:rsidDel="00000000" w:rsidP="00000000" w:rsidRDefault="00000000" w:rsidRPr="00000000" w14:paraId="00000178">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79">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A">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7B">
            <w:pPr>
              <w:keepNext w:val="1"/>
              <w:spacing w:after="0" w:line="276" w:lineRule="auto"/>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C">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Address:</w:t>
            </w:r>
          </w:p>
        </w:tc>
        <w:tc>
          <w:tcPr>
            <w:vAlign w:val="center"/>
          </w:tcPr>
          <w:p w:rsidR="00000000" w:rsidDel="00000000" w:rsidP="00000000" w:rsidRDefault="00000000" w:rsidRPr="00000000" w14:paraId="0000017D">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[address]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E">
            <w:pPr>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E-mail:</w:t>
            </w:r>
          </w:p>
        </w:tc>
        <w:tc>
          <w:tcPr>
            <w:vAlign w:val="center"/>
          </w:tcPr>
          <w:p w:rsidR="00000000" w:rsidDel="00000000" w:rsidP="00000000" w:rsidRDefault="00000000" w:rsidRPr="00000000" w14:paraId="0000017F">
            <w:pPr>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[e-mail address]</w:t>
            </w:r>
            <w:r w:rsidDel="00000000" w:rsidR="00000000" w:rsidRPr="00000000">
              <w:rPr>
                <w:rtl w:val="0"/>
              </w:rPr>
            </w:r>
          </w:p>
        </w:tc>
      </w:tr>
    </w:tbl>
    <w:p w:rsidR="00000000" w:rsidDel="00000000" w:rsidP="00000000" w:rsidRDefault="00000000" w:rsidRPr="00000000" w14:paraId="00000180">
      <w:pPr>
        <w:keepNext w:val="1"/>
        <w:spacing w:after="120" w:before="24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bCs w:val="1"/>
          <w:sz w:val="22"/>
          <w:szCs w:val="22"/>
          <w:rtl w:val="0"/>
        </w:rPr>
        <w:t xml:space="preserve">THE INVESTOR</w:t>
      </w:r>
      <w:r w:rsidDel="00000000" w:rsidR="00000000" w:rsidRPr="00000000">
        <w:rPr>
          <w:rFonts w:ascii="Times New Roman" w:cs="Times New Roman" w:eastAsia="Times New Roman" w:hAnsi="Times New Roman"/>
          <w:b w:val="1"/>
          <w:bCs w:val="1"/>
          <w:sz w:val="22"/>
          <w:szCs w:val="22"/>
          <w:vertAlign w:val="superscript"/>
        </w:rPr>
        <w:footnoteReference w:customMarkFollows="0" w:id="22"/>
      </w:r>
      <w:r w:rsidDel="00000000" w:rsidR="00000000" w:rsidRPr="00000000">
        <w:rPr>
          <w:rFonts w:ascii="Times New Roman" w:cs="Times New Roman" w:eastAsia="Times New Roman" w:hAnsi="Times New Roman"/>
          <w:sz w:val="22"/>
          <w:szCs w:val="22"/>
          <w:rtl w:val="0"/>
        </w:rPr>
        <w:t xml:space="preserve">:</w:t>
      </w:r>
    </w:p>
    <w:tbl>
      <w:tblPr>
        <w:tblStyle w:val="Table6"/>
        <w:tblW w:w="92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43"/>
        <w:gridCol w:w="7371"/>
        <w:tblGridChange w:id="0">
          <w:tblGrid>
            <w:gridCol w:w="1843"/>
            <w:gridCol w:w="7371"/>
          </w:tblGrid>
        </w:tblGridChange>
      </w:tblGrid>
      <w:tr>
        <w:trPr>
          <w:cantSplit w:val="0"/>
          <w:tblHeader w:val="0"/>
        </w:trPr>
        <w:tc>
          <w:tcPr>
            <w:vAlign w:val="center"/>
          </w:tcPr>
          <w:p w:rsidR="00000000" w:rsidDel="00000000" w:rsidP="00000000" w:rsidRDefault="00000000" w:rsidRPr="00000000" w14:paraId="00000181">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w:t>
            </w:r>
          </w:p>
        </w:tc>
        <w:tc>
          <w:tcPr>
            <w:vAlign w:val="center"/>
          </w:tcPr>
          <w:p w:rsidR="00000000" w:rsidDel="00000000" w:rsidP="00000000" w:rsidRDefault="00000000" w:rsidRPr="00000000" w14:paraId="00000182">
            <w:pPr>
              <w:keepNext w:val="1"/>
              <w:tabs>
                <w:tab w:val="left" w:leader="none" w:pos="2301"/>
              </w:tabs>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[Name]</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b w:val="1"/>
                <w:bCs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incorporated</w:t>
            </w:r>
            <w:r w:rsidDel="00000000" w:rsidR="00000000" w:rsidRPr="00000000">
              <w:rPr>
                <w:rFonts w:ascii="Times New Roman" w:cs="Times New Roman" w:eastAsia="Times New Roman" w:hAnsi="Times New Roman"/>
                <w:b w:val="1"/>
                <w:bCs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under the laws of [country],  Hungarian, registration number [insert]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3">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Signature:</w:t>
            </w:r>
          </w:p>
        </w:tc>
        <w:tc>
          <w:tcPr>
            <w:tcBorders>
              <w:bottom w:color="000000" w:space="0" w:sz="4" w:val="single"/>
            </w:tcBorders>
            <w:vAlign w:val="center"/>
          </w:tcPr>
          <w:p w:rsidR="00000000" w:rsidDel="00000000" w:rsidP="00000000" w:rsidRDefault="00000000" w:rsidRPr="00000000" w14:paraId="00000184">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85">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6">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87">
            <w:pPr>
              <w:keepNext w:val="1"/>
              <w:spacing w:after="0" w:line="276" w:lineRule="auto"/>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8">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Represented by:</w:t>
            </w:r>
          </w:p>
        </w:tc>
        <w:tc>
          <w:tcPr>
            <w:vAlign w:val="center"/>
          </w:tcPr>
          <w:p w:rsidR="00000000" w:rsidDel="00000000" w:rsidP="00000000" w:rsidRDefault="00000000" w:rsidRPr="00000000" w14:paraId="00000189">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[name]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A">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Title</w:t>
            </w:r>
          </w:p>
        </w:tc>
        <w:tc>
          <w:tcPr>
            <w:vAlign w:val="center"/>
          </w:tcPr>
          <w:p w:rsidR="00000000" w:rsidDel="00000000" w:rsidP="00000000" w:rsidRDefault="00000000" w:rsidRPr="00000000" w14:paraId="0000018B">
            <w:pPr>
              <w:keepNext w:val="1"/>
              <w:spacing w:after="0"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[title]</w:t>
            </w:r>
          </w:p>
        </w:tc>
      </w:tr>
      <w:tr>
        <w:trPr>
          <w:cantSplit w:val="0"/>
          <w:tblHeader w:val="0"/>
        </w:trPr>
        <w:tc>
          <w:tcPr>
            <w:vAlign w:val="center"/>
          </w:tcPr>
          <w:p w:rsidR="00000000" w:rsidDel="00000000" w:rsidP="00000000" w:rsidRDefault="00000000" w:rsidRPr="00000000" w14:paraId="0000018C">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Address:</w:t>
            </w:r>
          </w:p>
        </w:tc>
        <w:tc>
          <w:tcPr>
            <w:vAlign w:val="center"/>
          </w:tcPr>
          <w:p w:rsidR="00000000" w:rsidDel="00000000" w:rsidP="00000000" w:rsidRDefault="00000000" w:rsidRPr="00000000" w14:paraId="0000018D">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[address]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E">
            <w:pPr>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E-mail:</w:t>
            </w:r>
          </w:p>
        </w:tc>
        <w:tc>
          <w:tcPr>
            <w:vAlign w:val="center"/>
          </w:tcPr>
          <w:p w:rsidR="00000000" w:rsidDel="00000000" w:rsidP="00000000" w:rsidRDefault="00000000" w:rsidRPr="00000000" w14:paraId="0000018F">
            <w:pPr>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[e-mail address]</w:t>
            </w:r>
            <w:r w:rsidDel="00000000" w:rsidR="00000000" w:rsidRPr="00000000">
              <w:rPr>
                <w:rtl w:val="0"/>
              </w:rPr>
            </w:r>
          </w:p>
        </w:tc>
      </w:tr>
    </w:tbl>
    <w:p w:rsidR="00000000" w:rsidDel="00000000" w:rsidP="00000000" w:rsidRDefault="00000000" w:rsidRPr="00000000" w14:paraId="00000190">
      <w:pPr>
        <w:keepNext w:val="1"/>
        <w:spacing w:after="120" w:before="240" w:line="276" w:lineRule="auto"/>
        <w:jc w:val="both"/>
        <w:rPr>
          <w:rFonts w:ascii="Times New Roman" w:cs="Times New Roman" w:eastAsia="Times New Roman" w:hAnsi="Times New Roman"/>
          <w:b w:val="1"/>
          <w:bCs w:val="1"/>
          <w:sz w:val="22"/>
          <w:szCs w:val="22"/>
        </w:rPr>
      </w:pPr>
      <w:r w:rsidDel="00000000" w:rsidR="00000000" w:rsidRPr="00000000">
        <w:rPr>
          <w:rtl w:val="0"/>
        </w:rPr>
      </w:r>
    </w:p>
    <w:tbl>
      <w:tblPr>
        <w:tblStyle w:val="Table7"/>
        <w:tblW w:w="92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43"/>
        <w:gridCol w:w="7371"/>
        <w:tblGridChange w:id="0">
          <w:tblGrid>
            <w:gridCol w:w="1843"/>
            <w:gridCol w:w="7371"/>
          </w:tblGrid>
        </w:tblGridChange>
      </w:tblGrid>
      <w:tr>
        <w:trPr>
          <w:cantSplit w:val="0"/>
          <w:tblHeader w:val="0"/>
        </w:trPr>
        <w:tc>
          <w:tcPr>
            <w:vAlign w:val="center"/>
          </w:tcPr>
          <w:p w:rsidR="00000000" w:rsidDel="00000000" w:rsidP="00000000" w:rsidRDefault="00000000" w:rsidRPr="00000000" w14:paraId="00000191">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Name:</w:t>
            </w:r>
          </w:p>
        </w:tc>
        <w:tc>
          <w:tcPr>
            <w:vAlign w:val="center"/>
          </w:tcPr>
          <w:p w:rsidR="00000000" w:rsidDel="00000000" w:rsidP="00000000" w:rsidRDefault="00000000" w:rsidRPr="00000000" w14:paraId="00000192">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[Name], </w:t>
            </w:r>
            <w:r w:rsidDel="00000000" w:rsidR="00000000" w:rsidRPr="00000000">
              <w:rPr>
                <w:rFonts w:ascii="Times New Roman" w:cs="Times New Roman" w:eastAsia="Times New Roman" w:hAnsi="Times New Roman"/>
                <w:sz w:val="22"/>
                <w:szCs w:val="22"/>
                <w:rtl w:val="0"/>
              </w:rPr>
              <w:t xml:space="preserve">a citizen of [country], identity code [insert]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3">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Signature:</w:t>
            </w:r>
          </w:p>
        </w:tc>
        <w:tc>
          <w:tcPr>
            <w:tcBorders>
              <w:bottom w:color="000000" w:space="0" w:sz="4" w:val="single"/>
            </w:tcBorders>
            <w:vAlign w:val="center"/>
          </w:tcPr>
          <w:p w:rsidR="00000000" w:rsidDel="00000000" w:rsidP="00000000" w:rsidRDefault="00000000" w:rsidRPr="00000000" w14:paraId="00000194">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p w:rsidR="00000000" w:rsidDel="00000000" w:rsidP="00000000" w:rsidRDefault="00000000" w:rsidRPr="00000000" w14:paraId="00000195">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6">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97">
            <w:pPr>
              <w:keepNext w:val="1"/>
              <w:spacing w:after="0" w:line="276" w:lineRule="auto"/>
              <w:jc w:val="both"/>
              <w:rPr>
                <w:rFonts w:ascii="Times New Roman" w:cs="Times New Roman" w:eastAsia="Times New Roman" w:hAnsi="Times New Roman"/>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98">
            <w:pPr>
              <w:keepNext w:val="1"/>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Address:</w:t>
            </w:r>
          </w:p>
        </w:tc>
        <w:tc>
          <w:tcPr>
            <w:vAlign w:val="center"/>
          </w:tcPr>
          <w:p w:rsidR="00000000" w:rsidDel="00000000" w:rsidP="00000000" w:rsidRDefault="00000000" w:rsidRPr="00000000" w14:paraId="00000199">
            <w:pPr>
              <w:keepNext w:val="1"/>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[address]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A">
            <w:pPr>
              <w:spacing w:after="0" w:line="276" w:lineRule="auto"/>
              <w:ind w:right="-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E-mail:</w:t>
            </w:r>
          </w:p>
        </w:tc>
        <w:tc>
          <w:tcPr>
            <w:vAlign w:val="center"/>
          </w:tcPr>
          <w:p w:rsidR="00000000" w:rsidDel="00000000" w:rsidP="00000000" w:rsidRDefault="00000000" w:rsidRPr="00000000" w14:paraId="0000019B">
            <w:pPr>
              <w:spacing w:after="0" w:line="276" w:lineRule="auto"/>
              <w:jc w:val="both"/>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sz w:val="22"/>
                <w:szCs w:val="22"/>
                <w:rtl w:val="0"/>
              </w:rPr>
              <w:t xml:space="preserve">[e-mail address]</w:t>
            </w:r>
            <w:r w:rsidDel="00000000" w:rsidR="00000000" w:rsidRPr="00000000">
              <w:rPr>
                <w:rtl w:val="0"/>
              </w:rPr>
            </w:r>
          </w:p>
        </w:tc>
      </w:tr>
    </w:tbl>
    <w:p w:rsidR="00000000" w:rsidDel="00000000" w:rsidP="00000000" w:rsidRDefault="00000000" w:rsidRPr="00000000" w14:paraId="0000019C">
      <w:pPr>
        <w:spacing w:after="120" w:before="240" w:line="276" w:lineRule="auto"/>
        <w:rPr>
          <w:rFonts w:ascii="Times New Roman" w:cs="Times New Roman" w:eastAsia="Times New Roman" w:hAnsi="Times New Roman"/>
          <w:sz w:val="22"/>
          <w:szCs w:val="22"/>
        </w:rPr>
      </w:pPr>
      <w:r w:rsidDel="00000000" w:rsidR="00000000" w:rsidRPr="00000000">
        <w:rPr>
          <w:rtl w:val="0"/>
        </w:rPr>
      </w:r>
    </w:p>
    <w:sectPr>
      <w:headerReference r:id="rId8" w:type="default"/>
      <w:footerReference r:id="rId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Unbounde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5">
    <w:pPr>
      <w:tabs>
        <w:tab w:val="center" w:leader="none" w:pos="4536"/>
        <w:tab w:val="right" w:leader="none" w:pos="9072"/>
      </w:tabs>
      <w:spacing w:after="0" w:line="240" w:lineRule="auto"/>
      <w:jc w:val="right"/>
      <w:rPr>
        <w:sz w:val="22"/>
        <w:szCs w:val="22"/>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6">
    <w:pPr>
      <w:pBdr>
        <w:top w:color="000000" w:space="2" w:sz="18" w:val="single"/>
      </w:pBdr>
      <w:spacing w:after="0" w:before="200" w:line="240" w:lineRule="auto"/>
      <w:ind w:left="-1440" w:right="-1440" w:firstLine="720"/>
      <w:rPr>
        <w:rFonts w:ascii="Arial" w:cs="Arial" w:eastAsia="Arial" w:hAnsi="Arial"/>
        <w:sz w:val="22"/>
        <w:szCs w:val="22"/>
      </w:rPr>
    </w:pPr>
    <w:r w:rsidDel="00000000" w:rsidR="00000000" w:rsidRPr="00000000">
      <w:rPr>
        <w:rFonts w:ascii="Unbounded" w:cs="Unbounded" w:eastAsia="Unbounded" w:hAnsi="Unbounded"/>
        <w:sz w:val="22"/>
        <w:szCs w:val="22"/>
        <w:rtl w:val="0"/>
      </w:rPr>
      <w:br w:type="textWrapping"/>
      <w:tab/>
      <w:t xml:space="preserve">IN COLLABORATION WITH</w:t>
      <w:br w:type="textWrapp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2793365</wp:posOffset>
          </wp:positionH>
          <wp:positionV relativeFrom="paragraph">
            <wp:posOffset>41275</wp:posOffset>
          </wp:positionV>
          <wp:extent cx="58420" cy="60667"/>
          <wp:effectExtent b="0" l="0" r="0" t="0"/>
          <wp:wrapNone/>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8420" cy="60667"/>
                  </a:xfrm>
                  <a:prstGeom prst="rect"/>
                  <a:ln/>
                </pic:spPr>
              </pic:pic>
            </a:graphicData>
          </a:graphic>
        </wp:anchor>
      </w:drawing>
    </w:r>
  </w:p>
  <w:p w:rsidR="00000000" w:rsidDel="00000000" w:rsidP="00000000" w:rsidRDefault="00000000" w:rsidRPr="00000000" w14:paraId="000001B7">
    <w:pPr>
      <w:spacing w:after="0" w:line="240" w:lineRule="auto"/>
      <w:ind w:left="-540" w:right="-360" w:firstLine="0"/>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1014413" cy="361950"/>
          <wp:effectExtent b="0" l="0" r="0" t="0"/>
          <wp:docPr id="2" name="image6.png"/>
          <a:graphic>
            <a:graphicData uri="http://schemas.openxmlformats.org/drawingml/2006/picture">
              <pic:pic>
                <pic:nvPicPr>
                  <pic:cNvPr id="0" name="image6.png"/>
                  <pic:cNvPicPr preferRelativeResize="0"/>
                </pic:nvPicPr>
                <pic:blipFill>
                  <a:blip r:embed="rId2"/>
                  <a:srcRect b="32934" l="0" r="0" t="31736"/>
                  <a:stretch>
                    <a:fillRect/>
                  </a:stretch>
                </pic:blipFill>
                <pic:spPr>
                  <a:xfrm>
                    <a:off x="0" y="0"/>
                    <a:ext cx="1014413" cy="361950"/>
                  </a:xfrm>
                  <a:prstGeom prst="rect"/>
                  <a:ln/>
                </pic:spPr>
              </pic:pic>
            </a:graphicData>
          </a:graphic>
        </wp:inline>
      </w:drawing>
    </w:r>
    <w:r w:rsidDel="00000000" w:rsidR="00000000" w:rsidRPr="00000000">
      <w:rPr>
        <w:rFonts w:ascii="Arial" w:cs="Arial" w:eastAsia="Arial" w:hAnsi="Arial"/>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671513" cy="304800"/>
          <wp:effectExtent b="0" l="0" r="0" t="0"/>
          <wp:docPr id="13" name="image10.png"/>
          <a:graphic>
            <a:graphicData uri="http://schemas.openxmlformats.org/drawingml/2006/picture">
              <pic:pic>
                <pic:nvPicPr>
                  <pic:cNvPr id="0" name="image10.png"/>
                  <pic:cNvPicPr preferRelativeResize="0"/>
                </pic:nvPicPr>
                <pic:blipFill>
                  <a:blip r:embed="rId3"/>
                  <a:srcRect b="33004" l="13385" r="12598" t="32113"/>
                  <a:stretch>
                    <a:fillRect/>
                  </a:stretch>
                </pic:blipFill>
                <pic:spPr>
                  <a:xfrm>
                    <a:off x="0" y="0"/>
                    <a:ext cx="671513" cy="304800"/>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1014413" cy="338138"/>
          <wp:effectExtent b="0" l="0" r="0" t="0"/>
          <wp:docPr id="3" name="image1.png"/>
          <a:graphic>
            <a:graphicData uri="http://schemas.openxmlformats.org/drawingml/2006/picture">
              <pic:pic>
                <pic:nvPicPr>
                  <pic:cNvPr id="0" name="image1.png"/>
                  <pic:cNvPicPr preferRelativeResize="0"/>
                </pic:nvPicPr>
                <pic:blipFill>
                  <a:blip r:embed="rId4"/>
                  <a:srcRect b="33775" l="0" r="0" t="32946"/>
                  <a:stretch>
                    <a:fillRect/>
                  </a:stretch>
                </pic:blipFill>
                <pic:spPr>
                  <a:xfrm>
                    <a:off x="0" y="0"/>
                    <a:ext cx="1014413" cy="338138"/>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985838" cy="322947"/>
          <wp:effectExtent b="0" l="0" r="0" t="0"/>
          <wp:docPr id="12" name="image9.png"/>
          <a:graphic>
            <a:graphicData uri="http://schemas.openxmlformats.org/drawingml/2006/picture">
              <pic:pic>
                <pic:nvPicPr>
                  <pic:cNvPr id="0" name="image9.png"/>
                  <pic:cNvPicPr preferRelativeResize="0"/>
                </pic:nvPicPr>
                <pic:blipFill>
                  <a:blip r:embed="rId5"/>
                  <a:srcRect b="34907" l="0" r="0" t="32283"/>
                  <a:stretch>
                    <a:fillRect/>
                  </a:stretch>
                </pic:blipFill>
                <pic:spPr>
                  <a:xfrm>
                    <a:off x="0" y="0"/>
                    <a:ext cx="985838" cy="322947"/>
                  </a:xfrm>
                  <a:prstGeom prst="rect"/>
                  <a:ln/>
                </pic:spPr>
              </pic:pic>
            </a:graphicData>
          </a:graphic>
        </wp:inline>
      </w:drawing>
    </w:r>
    <w:r w:rsidDel="00000000" w:rsidR="00000000" w:rsidRPr="00000000">
      <w:rPr>
        <w:rFonts w:ascii="Unbounded" w:cs="Unbounded" w:eastAsia="Unbounded" w:hAnsi="Unbounded"/>
        <w:sz w:val="22"/>
        <w:szCs w:val="22"/>
        <w:rtl w:val="0"/>
      </w:rPr>
      <w:tab/>
    </w:r>
    <w:r w:rsidDel="00000000" w:rsidR="00000000" w:rsidRPr="00000000">
      <w:rPr>
        <w:rFonts w:ascii="Unbounded" w:cs="Unbounded" w:eastAsia="Unbounded" w:hAnsi="Unbounded"/>
        <w:sz w:val="22"/>
        <w:szCs w:val="22"/>
      </w:rPr>
      <w:drawing>
        <wp:inline distB="114300" distT="114300" distL="114300" distR="114300">
          <wp:extent cx="690563" cy="365592"/>
          <wp:effectExtent b="0" l="0" r="0" t="0"/>
          <wp:docPr id="10" name="image11.png"/>
          <a:graphic>
            <a:graphicData uri="http://schemas.openxmlformats.org/drawingml/2006/picture">
              <pic:pic>
                <pic:nvPicPr>
                  <pic:cNvPr id="0" name="image11.png"/>
                  <pic:cNvPicPr preferRelativeResize="0"/>
                </pic:nvPicPr>
                <pic:blipFill>
                  <a:blip r:embed="rId6"/>
                  <a:srcRect b="28584" l="0" r="0" t="19601"/>
                  <a:stretch>
                    <a:fillRect/>
                  </a:stretch>
                </pic:blipFill>
                <pic:spPr>
                  <a:xfrm>
                    <a:off x="0" y="0"/>
                    <a:ext cx="690563" cy="365592"/>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0" w:line="240" w:lineRule="auto"/>
      <w:ind w:left="-540" w:right="-360" w:firstLine="0"/>
      <w:jc w:val="center"/>
      <w:rPr/>
    </w:pPr>
    <w:r w:rsidDel="00000000" w:rsidR="00000000" w:rsidRPr="00000000">
      <w:rPr>
        <w:rFonts w:ascii="Unbounded" w:cs="Unbounded" w:eastAsia="Unbounded" w:hAnsi="Unbounded"/>
        <w:sz w:val="22"/>
        <w:szCs w:val="22"/>
      </w:rPr>
      <w:drawing>
        <wp:inline distB="114300" distT="114300" distL="114300" distR="114300">
          <wp:extent cx="642938" cy="398342"/>
          <wp:effectExtent b="0" l="0" r="0" t="0"/>
          <wp:docPr id="1" name="image7.png"/>
          <a:graphic>
            <a:graphicData uri="http://schemas.openxmlformats.org/drawingml/2006/picture">
              <pic:pic>
                <pic:nvPicPr>
                  <pic:cNvPr id="0" name="image7.png"/>
                  <pic:cNvPicPr preferRelativeResize="0"/>
                </pic:nvPicPr>
                <pic:blipFill>
                  <a:blip r:embed="rId7"/>
                  <a:srcRect b="17749" l="0" r="0" t="20979"/>
                  <a:stretch>
                    <a:fillRect/>
                  </a:stretch>
                </pic:blipFill>
                <pic:spPr>
                  <a:xfrm>
                    <a:off x="0" y="0"/>
                    <a:ext cx="642938" cy="398342"/>
                  </a:xfrm>
                  <a:prstGeom prst="rect"/>
                  <a:ln/>
                </pic:spPr>
              </pic:pic>
            </a:graphicData>
          </a:graphic>
        </wp:inline>
      </w:drawing>
    </w:r>
    <w:r w:rsidDel="00000000" w:rsidR="00000000" w:rsidRPr="00000000">
      <w:rPr>
        <w:rFonts w:ascii="Unbounded" w:cs="Unbounded" w:eastAsia="Unbounded" w:hAnsi="Unbounded"/>
        <w:sz w:val="22"/>
        <w:szCs w:val="22"/>
        <w:rtl w:val="0"/>
      </w:rPr>
      <w:tab/>
      <w:tab/>
    </w:r>
    <w:r w:rsidDel="00000000" w:rsidR="00000000" w:rsidRPr="00000000">
      <w:rPr>
        <w:rFonts w:ascii="Arial" w:cs="Arial" w:eastAsia="Arial" w:hAnsi="Arial"/>
        <w:sz w:val="22"/>
        <w:szCs w:val="22"/>
      </w:rPr>
      <w:drawing>
        <wp:inline distB="114300" distT="114300" distL="114300" distR="114300">
          <wp:extent cx="1035507" cy="258877"/>
          <wp:effectExtent b="0" l="0" r="0" t="0"/>
          <wp:docPr id="5" name="image5.png"/>
          <a:graphic>
            <a:graphicData uri="http://schemas.openxmlformats.org/drawingml/2006/picture">
              <pic:pic>
                <pic:nvPicPr>
                  <pic:cNvPr id="0" name="image5.png"/>
                  <pic:cNvPicPr preferRelativeResize="0"/>
                </pic:nvPicPr>
                <pic:blipFill>
                  <a:blip r:embed="rId8"/>
                  <a:srcRect b="0" l="5299" r="5364" t="0"/>
                  <a:stretch>
                    <a:fillRect/>
                  </a:stretch>
                </pic:blipFill>
                <pic:spPr>
                  <a:xfrm>
                    <a:off x="0" y="0"/>
                    <a:ext cx="1035507" cy="258877"/>
                  </a:xfrm>
                  <a:prstGeom prst="rect"/>
                  <a:ln/>
                </pic:spPr>
              </pic:pic>
            </a:graphicData>
          </a:graphic>
        </wp:inline>
      </w:drawing>
    </w: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rPr>
      <w:drawing>
        <wp:inline distB="114300" distT="114300" distL="114300" distR="114300">
          <wp:extent cx="801525" cy="267175"/>
          <wp:effectExtent b="0" l="0" r="0" t="0"/>
          <wp:docPr id="9" name="image4.png"/>
          <a:graphic>
            <a:graphicData uri="http://schemas.openxmlformats.org/drawingml/2006/picture">
              <pic:pic>
                <pic:nvPicPr>
                  <pic:cNvPr id="0" name="image4.png"/>
                  <pic:cNvPicPr preferRelativeResize="0"/>
                </pic:nvPicPr>
                <pic:blipFill>
                  <a:blip r:embed="rId9"/>
                  <a:srcRect b="35220" l="4980" r="3865" t="34591"/>
                  <a:stretch>
                    <a:fillRect/>
                  </a:stretch>
                </pic:blipFill>
                <pic:spPr>
                  <a:xfrm>
                    <a:off x="0" y="0"/>
                    <a:ext cx="801525" cy="267175"/>
                  </a:xfrm>
                  <a:prstGeom prst="rect"/>
                  <a:ln/>
                </pic:spPr>
              </pic:pic>
            </a:graphicData>
          </a:graphic>
        </wp:inline>
      </w:drawing>
    </w:r>
    <w:r w:rsidDel="00000000" w:rsidR="00000000" w:rsidRPr="00000000">
      <w:rPr>
        <w:rFonts w:ascii="Arial" w:cs="Arial" w:eastAsia="Arial" w:hAnsi="Arial"/>
        <w:sz w:val="22"/>
        <w:szCs w:val="22"/>
        <w:rtl w:val="0"/>
      </w:rPr>
      <w:tab/>
      <w:tab/>
    </w:r>
    <w:r w:rsidDel="00000000" w:rsidR="00000000" w:rsidRPr="00000000">
      <w:rPr>
        <w:rFonts w:ascii="Arial" w:cs="Arial" w:eastAsia="Arial" w:hAnsi="Arial"/>
        <w:sz w:val="22"/>
        <w:szCs w:val="22"/>
      </w:rPr>
      <w:drawing>
        <wp:inline distB="114300" distT="114300" distL="114300" distR="114300">
          <wp:extent cx="853005" cy="366713"/>
          <wp:effectExtent b="0" l="0" r="0" t="0"/>
          <wp:docPr id="7" name="image13.png"/>
          <a:graphic>
            <a:graphicData uri="http://schemas.openxmlformats.org/drawingml/2006/picture">
              <pic:pic>
                <pic:nvPicPr>
                  <pic:cNvPr id="0" name="image13.png"/>
                  <pic:cNvPicPr preferRelativeResize="0"/>
                </pic:nvPicPr>
                <pic:blipFill>
                  <a:blip r:embed="rId10"/>
                  <a:srcRect b="31791" l="6622" r="4895" t="32369"/>
                  <a:stretch>
                    <a:fillRect/>
                  </a:stretch>
                </pic:blipFill>
                <pic:spPr>
                  <a:xfrm>
                    <a:off x="0" y="0"/>
                    <a:ext cx="853005" cy="366713"/>
                  </a:xfrm>
                  <a:prstGeom prst="rect"/>
                  <a:ln/>
                </pic:spPr>
              </pic:pic>
            </a:graphicData>
          </a:graphic>
        </wp:inline>
      </w:drawing>
    </w:r>
    <w:r w:rsidDel="00000000" w:rsidR="00000000" w:rsidRPr="00000000">
      <w:rPr>
        <w:rFonts w:ascii="Arial" w:cs="Arial" w:eastAsia="Arial" w:hAnsi="Arial"/>
        <w:sz w:val="22"/>
        <w:szCs w:val="22"/>
        <w:rtl w:val="0"/>
      </w:rPr>
      <w:tab/>
      <w:tab/>
    </w:r>
    <w:r w:rsidDel="00000000" w:rsidR="00000000" w:rsidRPr="00000000">
      <w:rPr>
        <w:rFonts w:ascii="Unbounded" w:cs="Unbounded" w:eastAsia="Unbounded" w:hAnsi="Unbounded"/>
        <w:sz w:val="22"/>
        <w:szCs w:val="22"/>
      </w:rPr>
      <w:drawing>
        <wp:inline distB="114300" distT="114300" distL="114300" distR="114300">
          <wp:extent cx="519113" cy="323382"/>
          <wp:effectExtent b="0" l="0" r="0" t="0"/>
          <wp:docPr id="6" name="image8.png"/>
          <a:graphic>
            <a:graphicData uri="http://schemas.openxmlformats.org/drawingml/2006/picture">
              <pic:pic>
                <pic:nvPicPr>
                  <pic:cNvPr id="0" name="image8.png"/>
                  <pic:cNvPicPr preferRelativeResize="0"/>
                </pic:nvPicPr>
                <pic:blipFill>
                  <a:blip r:embed="rId11"/>
                  <a:srcRect b="23433" l="6140" r="6284" t="22824"/>
                  <a:stretch>
                    <a:fillRect/>
                  </a:stretch>
                </pic:blipFill>
                <pic:spPr>
                  <a:xfrm>
                    <a:off x="0" y="0"/>
                    <a:ext cx="519113" cy="323382"/>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If the Company intends to enter into separate agreements with each single investor or each separate group of investors, but all such investments are part of one and the same convertible financing round, then it is advisable to tie all agreements together for purposes of allowing amendments by all share/quotaholders and otherwise referring to the agreements of a particular financing round. This can be done by including a common reference to certain series, such as 2024A, 2024B or something of that nature.   Section 9/A(2) of Act XXXIV of 2004 on small and medium-sized enterprises and support for their development (the SME Act) requires that “the contract for the granting of a loan convertible into capital shall be concluded by the creditor with the company and all its members or all its shareholders. If all the members or shareholders do not take part in the conclusion of the contract for the granting of a loan convertible into capital, the consent of all the members or shareholders of the company shall be required for the conclusion of the contract. Any agreement to the contrary by the parties shall be null and void.” The SME Act only permits convertible loans to be provided to a start-up enterprise, which are defined as a micro or small enterprise which has been registered for not more than five years, is not listed on a stock exchange, has not yet distributed profits and has not been formed by merger or division.</w:t>
      </w:r>
    </w:p>
  </w:footnote>
  <w:footnote w:id="1">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Based on section 9/A(7) of the SME Act the Investor shall, within 5 days of the conclusion of the contract for the provision of the loan convertible into equity and within 5 days of the conversion being recorded in the articles of association, make a notification as per section 42/J of Act LXXVI of 2014 on scientific research, development and innovation.</w:t>
      </w:r>
    </w:p>
  </w:footnote>
  <w:footnote w:id="2">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Include this only if the reference in question is included in the title of the agreement. See note 1. </w:t>
      </w:r>
    </w:p>
  </w:footnote>
  <w:footnote w:id="3">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To convert the loans granted under this Agreement into shares, the shareholders of the Company must adopt certain resolutions, including a resolution to increase the share capital, to waive their statutory pre-emptive rights to subscribe for the shares to be issued to investors and, if a new class of shares is to be created, to adopt a resolution to amend the Articles of Association of the Company. To simplify the signing process, this model document is drafted so that shareholders are not parties to this Agreement. To secure the conversion of loan, it is advisable to request all shareholders of the Company to sign a separate agreement - here it is defined as Approval Agreement - whereby they agree to take the aforementioned actions to convert the loans granted under this Agreement as well as any other convertible loan agreement that is part of the proposed convertible financing round. The relevant model document - Agreement Regarding Convertible Instruments– is available at www.hvca.hu and relevant website of Startup Hungary operated jointly under www.[___] [*]. Such agreement should be signed before the signing of this agreement. The finalized form of this convertible loan agreement (without the investors’ names) should be appended to the Agreement Regarding Convertible Instruments</w:t>
      </w:r>
    </w:p>
  </w:footnote>
  <w:footnote w:id="4">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reflects the discount offered to convertible loan investors as a benefit compared to the subsequent equity investors to recognize the added risk taken by convertible loan investors by investing earlier in the Company. A typical discount off the price paid by the subsequent equity investors would be 15-25%. Discounts may be higher in investments with more perceived risk, either because the Loan may have a longer maturity or because of the specific circumstances of the Company. IMPORTANT NOTE: Offering a discount is an optional not a mandatory term of the Convertible Loan Agreement. If no discount is offered, this Section 1.2.1 should be removed and the appropriate changes should be made in Section 3.3 and Section 4.3</w:t>
      </w:r>
    </w:p>
  </w:footnote>
  <w:footnote w:id="5">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is the annual rate which accrues on the Loan until it is repaid or converted. The typical market rate is somewhere between [5-15]%.</w:t>
      </w:r>
    </w:p>
  </w:footnote>
  <w:footnote w:id="6">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To avoid administrative challenges and “holdout” problems associated with trying to amend outstanding Loans (to extend their Maturity Date or otherwise), Loans usually incorporate a “majority rules” provision through which the persons holding an agreed majority of the principal amount of all outstanding Loans may agree to amendments that would be binding on all the investors of the relevant convertible financing round. See also Section 12.1.</w:t>
      </w:r>
    </w:p>
  </w:footnote>
  <w:footnote w:id="7">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is the date on which the Company is required to repay the Loan unless it is converted – see Section 5.1. Setting this date is a way to set expectations for the investors as to the likely final date for closing the next equity financing round. As a general rule, a later Maturity Date is better for the Company. Typically, the Maturity Date is 12-24 months of the Signing Date.  </w:t>
      </w:r>
    </w:p>
  </w:footnote>
  <w:footnote w:id="8">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is the valuation at which the Loan will be converted into equity at Maturity Date if the Loan has not been converted or repaid before that and the Investors elect the conversion instead of repayment. Some companies and investors use the Valuation Cap here, but there are no well-established rules for the determination of this amount.</w:t>
      </w:r>
    </w:p>
  </w:footnote>
  <w:footnote w:id="9">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is the minimum amount of new cash that must be raised in the equity financing round in order to trigger automatic conversion of Loans (see Section 3.1). The reason for including such threshold amount is that convertible loan investors want to make sure that they only give up their loanholder status (and the additional protection it may afford as compared to a shareholder) at a time in which the Company has demonstrated that it is healthier and more sustainable, i.e. to protect the Investors from having their Loans converted to equity in a financing that leaves the Company inadequately capitalized.  </w:t>
      </w:r>
      <w:r w:rsidDel="00000000" w:rsidR="00000000" w:rsidRPr="00000000">
        <w:rPr>
          <w:rFonts w:ascii="Times New Roman" w:cs="Times New Roman" w:eastAsia="Times New Roman" w:hAnsi="Times New Roman"/>
          <w:sz w:val="20"/>
          <w:szCs w:val="20"/>
          <w:rtl w:val="0"/>
        </w:rPr>
        <w:t xml:space="preserve">Such a threshold</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amount also ensures that the equity financing causing conversion is a “true” financing and not a sham financing designed to force the Loans to convert into terms that are not favorable. However, the threshold amount shouldn’t be set so high that the Company risks having the Loans not convert in the next equity financing round.</w:t>
      </w:r>
    </w:p>
  </w:footnote>
  <w:footnote w:id="10">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is the maximum valuation at which the Loan will convert into equity, regardless of the valuation agreed by the Company and the subsequent equity investors. Although this Valuation Cap is not a “valuation,” investors and companies may look at this amount as an indication for either current or potential future valuation. IMPORTANT NOTE: Including a valuation cap is an optional not a mandatory term of the Convertible Loan Agreement (although it is becoming more common). The total size of the convertible financing round and the Valuation Cap are two variables that each can have a significant impact on the ownership position of the convertible loan investors following the conversion of the Loan, and the two variables together have a magnifying effect. Therefore, the founders must run through a sensitivity analysis when trying to determine how much to raise and where to set the Valuation Cap.</w:t>
      </w:r>
    </w:p>
  </w:footnote>
  <w:footnote w:id="11">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The Payment Term should be long enough to enable the Investors conduct their capital calls and transfer the Investment Amounts, but not much longer.</w:t>
      </w:r>
    </w:p>
  </w:footnote>
  <w:footnote w:id="12">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Between related parties transfer pricing documentation may be required. The parties should obtain tax advice.</w:t>
      </w:r>
    </w:p>
  </w:footnote>
  <w:footnote w:id="13">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The term “Shares” as used in this document may refer to a “quota” (which is a notional equity interest in a kft., which is a limited liability company) or real, certificated or uncertificated, shares (which are equity securities that can be issued by a zrt., a private company limited by shares). Kfts are more widely used as the company form of a start-up business. The terminology may need to be revised in case the target company is a kft. rather than a zrt. For example, while a zrt. can “issue” shares, a quota in a kft. is “created” by court registration as defined in the articles of association and the quotaholders’ list and not issued in any shape or form. Shareholders can be members (tagok in Hungarian or részvényesek in Hungarian – depending on whether the Company operates as a kft. or as a zrt.). Please obtain specific advice and adapt this model agreement to the specific form of the target company. While the nominal value of a share can be HUF 1 or less in a zrt., the nominal value of a quota in a kft. for the time being may not be lower than HUF 100,000 – although HVCA started lobbying for lowering or eliminating this threshold similar to the regulation of shares - and meanwhile this limitation must be dealt with in connection with any conversion of loans into the registered capital of a kft, however one quotaholder may have more than one quota, therefore quotas can be created in a “share like” allocation.</w:t>
      </w:r>
    </w:p>
  </w:footnote>
  <w:footnote w:id="15">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Section 5.1.2 gives the Investors the right to demand the repayment of the principal and the accrued interest after the Maturity Date (similarly to traditional loans). But the reality for the Company is that in most cases where the Loan has not been converted by the Maturity Date, the Company probably does not have the money to cover the repayment obligation. Therefore, the parties could consider/negotiate removing the repayment option under this Section 5.1.2 altogether and agree that the Loan will be automatically converted at the price based on the Maturity Valuation floor.</w:t>
      </w:r>
    </w:p>
  </w:footnote>
  <w:footnote w:id="16">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not yet drafted only the model Term Sheet.</w:t>
      </w:r>
    </w:p>
  </w:footnote>
  <w:footnote w:id="17">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The Company should consider whether the rights included in this Section - information rights, right to participate in the next equity round and MFN (if included) – should be given to each and any investor participating in the convertible financing round or only to those investors who make a significant contribution to the round (so-called Major Investors).</w:t>
      </w:r>
    </w:p>
  </w:footnote>
  <w:footnote w:id="18">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option may be selected if the Company already has a proper investor/shareholder reporting procedure in place either as agreed in the shareholders’ agreement or otherwise.</w:t>
      </w:r>
    </w:p>
  </w:footnote>
  <w:footnote w:id="19">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This option may be selected if the Company has not previously established any investor/shareholder reporting procedures, for example, if the current convertible financing round is the first financing round for the Company.</w:t>
      </w:r>
    </w:p>
  </w:footnote>
  <w:footnote w:id="20">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NOTE TO DRAFT: The inclusion of this clause may be considered, above all, if each single investor participating in a convertible financing round enters into a separate agreement with the Company and the investor’s investment is among the first investments in such a round and/or the terms of this agreement are relatively Company-friendly (e.g. no valuation cap or discount) and the investor is concerned that more investor-friendly terms may be offered to subsequent investors. However, the inclusion of such clause restricts the Company’s fundraising activities and creates an additional administrative burden. Therefore, please consult with an attorney or lawyer before including this clause.</w:t>
      </w:r>
    </w:p>
  </w:footnote>
  <w:footnote w:id="14">
    <w:p w:rsidR="00000000" w:rsidDel="00000000" w:rsidP="00000000" w:rsidRDefault="00000000" w:rsidRPr="00000000" w14:paraId="000001B1">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NOTE TO DRAFT: Fully Diluted Share Capital means the total number of shares in case of a zrt. or the total number of quotas in case of a kft. in Hungary at the time of calculation. </w:t>
      </w:r>
    </w:p>
  </w:footnote>
  <w:footnote w:id="21">
    <w:p w:rsidR="00000000" w:rsidDel="00000000" w:rsidP="00000000" w:rsidRDefault="00000000" w:rsidRPr="00000000" w14:paraId="000001B2">
      <w:pPr>
        <w:spacing w:after="0" w:line="24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NOTE TO DRAFT: The following set of representations and warranties is provided as an example. It includes the most basic representations and warranties for early stage technology companies. This set may be individually negotiated for each company. The Warrantors should carefully review each and every Warranty and include, in the text of each respective Warranty, anything that would otherwise make the statement to be untrue, incorrect or misleading. </w:t>
      </w:r>
    </w:p>
  </w:footnote>
  <w:footnote w:id="22">
    <w:p w:rsidR="00000000" w:rsidDel="00000000" w:rsidP="00000000" w:rsidRDefault="00000000" w:rsidRPr="00000000" w14:paraId="000001B3">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Choose one of the following depending on whether the Investor is a legal or natural person.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pBdr>
        <w:top w:color="000000" w:space="2" w:sz="18" w:val="single"/>
        <w:bottom w:color="000000" w:space="2" w:sz="18" w:val="single"/>
      </w:pBdr>
      <w:spacing w:after="200" w:line="276" w:lineRule="auto"/>
      <w:ind w:left="-1433.8235294117646" w:right="-1425.0000000000002" w:firstLine="713.8235294117646"/>
      <w:rPr/>
    </w:pPr>
    <w:r w:rsidDel="00000000" w:rsidR="00000000" w:rsidRPr="00000000">
      <w:rPr>
        <w:rFonts w:ascii="Unbounded" w:cs="Unbounded" w:eastAsia="Unbounded" w:hAnsi="Unbounded"/>
        <w:sz w:val="28"/>
        <w:szCs w:val="28"/>
        <w:rtl w:val="0"/>
      </w:rPr>
      <w:t xml:space="preserve">LEGAL LIBRARY</w:t>
      <w:tab/>
      <w:tab/>
      <w:tab/>
      <w:tab/>
      <w:tab/>
      <w:tab/>
      <w:tab/>
    </w:r>
    <w:r w:rsidDel="00000000" w:rsidR="00000000" w:rsidRPr="00000000">
      <w:rPr>
        <w:rFonts w:ascii="Unbounded" w:cs="Unbounded" w:eastAsia="Unbounded" w:hAnsi="Unbounded"/>
        <w:sz w:val="28"/>
        <w:szCs w:val="28"/>
      </w:rPr>
      <w:drawing>
        <wp:inline distB="114300" distT="114300" distL="114300" distR="114300">
          <wp:extent cx="1358900" cy="276225"/>
          <wp:effectExtent b="0" l="0" r="0" t="0"/>
          <wp:docPr id="11"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1358900" cy="276225"/>
                  </a:xfrm>
                  <a:prstGeom prst="rect"/>
                  <a:ln/>
                </pic:spPr>
              </pic:pic>
            </a:graphicData>
          </a:graphic>
        </wp:inline>
      </w:drawing>
    </w:r>
    <w:r w:rsidDel="00000000" w:rsidR="00000000" w:rsidRPr="00000000">
      <w:rPr>
        <w:rFonts w:ascii="Unbounded" w:cs="Unbounded" w:eastAsia="Unbounded" w:hAnsi="Unbounded"/>
        <w:sz w:val="28"/>
        <w:szCs w:val="28"/>
        <w:rtl w:val="0"/>
      </w:rPr>
      <w:t xml:space="preserve"> </w:t>
    </w:r>
    <w:r w:rsidDel="00000000" w:rsidR="00000000" w:rsidRPr="00000000">
      <w:rPr>
        <w:rFonts w:ascii="Unbounded" w:cs="Unbounded" w:eastAsia="Unbounded" w:hAnsi="Unbounded"/>
        <w:sz w:val="28"/>
        <w:szCs w:val="28"/>
      </w:rPr>
      <w:drawing>
        <wp:inline distB="114300" distT="114300" distL="114300" distR="114300">
          <wp:extent cx="666290" cy="306705"/>
          <wp:effectExtent b="0" l="0" r="0" t="0"/>
          <wp:docPr id="8" name="image2.png"/>
          <a:graphic>
            <a:graphicData uri="http://schemas.openxmlformats.org/drawingml/2006/picture">
              <pic:pic>
                <pic:nvPicPr>
                  <pic:cNvPr id="0" name="image2.png"/>
                  <pic:cNvPicPr preferRelativeResize="0"/>
                </pic:nvPicPr>
                <pic:blipFill>
                  <a:blip r:embed="rId2"/>
                  <a:srcRect b="27154" l="0" r="0" t="27672"/>
                  <a:stretch>
                    <a:fillRect/>
                  </a:stretch>
                </pic:blipFill>
                <pic:spPr>
                  <a:xfrm>
                    <a:off x="0" y="0"/>
                    <a:ext cx="666290" cy="306705"/>
                  </a:xfrm>
                  <a:prstGeom prst="rect"/>
                  <a:ln/>
                </pic:spPr>
              </pic:pic>
            </a:graphicData>
          </a:graphic>
        </wp:inline>
      </w:drawing>
    </w:r>
    <w:r w:rsidDel="00000000" w:rsidR="00000000" w:rsidRPr="00000000">
      <w:rPr>
        <w:rFonts w:ascii="Unbounded" w:cs="Unbounded" w:eastAsia="Unbounded" w:hAnsi="Unbounded"/>
        <w:sz w:val="28"/>
        <w:szCs w:val="28"/>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09" w:hanging="709"/>
      </w:pPr>
      <w:rPr>
        <w:u w:val="none"/>
      </w:rPr>
    </w:lvl>
    <w:lvl w:ilvl="1">
      <w:start w:val="1"/>
      <w:numFmt w:val="decimal"/>
      <w:lvlText w:val="%1.%2"/>
      <w:lvlJc w:val="left"/>
      <w:pPr>
        <w:ind w:left="709" w:hanging="709"/>
      </w:pPr>
      <w:rPr>
        <w:u w:val="none"/>
      </w:rPr>
    </w:lvl>
    <w:lvl w:ilvl="2">
      <w:start w:val="1"/>
      <w:numFmt w:val="decimal"/>
      <w:lvlText w:val="%1.%2.%3"/>
      <w:lvlJc w:val="left"/>
      <w:pPr>
        <w:ind w:left="1418" w:hanging="709"/>
      </w:pPr>
      <w:rPr>
        <w:u w:val="none"/>
      </w:rPr>
    </w:lvl>
    <w:lvl w:ilvl="3">
      <w:start w:val="1"/>
      <w:numFmt w:val="lowerLetter"/>
      <w:lvlText w:val="(%4)"/>
      <w:lvlJc w:val="left"/>
      <w:pPr>
        <w:ind w:left="1985" w:hanging="567"/>
      </w:pPr>
      <w:rPr>
        <w:u w:val="none"/>
      </w:rPr>
    </w:lvl>
    <w:lvl w:ilvl="4">
      <w:start w:val="1"/>
      <w:numFmt w:val="lowerRoman"/>
      <w:lvlText w:val="(%5)"/>
      <w:lvlJc w:val="left"/>
      <w:pPr>
        <w:ind w:left="2552" w:hanging="567"/>
      </w:pPr>
      <w:rPr>
        <w:u w:val="none"/>
      </w:rPr>
    </w:lvl>
    <w:lvl w:ilvl="5">
      <w:start w:val="1"/>
      <w:numFmt w:val="decimal"/>
      <w:lvlText w:val=""/>
      <w:lvlJc w:val="left"/>
      <w:pPr>
        <w:ind w:left="709" w:hanging="709"/>
      </w:pPr>
      <w:rPr>
        <w:u w:val="none"/>
      </w:rPr>
    </w:lvl>
    <w:lvl w:ilvl="6">
      <w:start w:val="1"/>
      <w:numFmt w:val="decimal"/>
      <w:lvlText w:val=""/>
      <w:lvlJc w:val="left"/>
      <w:pPr>
        <w:ind w:left="709" w:hanging="709"/>
      </w:pPr>
      <w:rPr>
        <w:u w:val="none"/>
      </w:rPr>
    </w:lvl>
    <w:lvl w:ilvl="7">
      <w:start w:val="1"/>
      <w:numFmt w:val="decimal"/>
      <w:lvlText w:val="%8%6"/>
      <w:lvlJc w:val="left"/>
      <w:pPr>
        <w:ind w:left="709" w:hanging="709"/>
      </w:pPr>
      <w:rPr>
        <w:u w:val="none"/>
      </w:rPr>
    </w:lvl>
    <w:lvl w:ilvl="8">
      <w:start w:val="1"/>
      <w:numFmt w:val="decimal"/>
      <w:lvlText w:val=""/>
      <w:lvlJc w:val="left"/>
      <w:pPr>
        <w:ind w:left="709" w:hanging="709"/>
      </w:pPr>
      <w:rPr>
        <w:u w:val="none"/>
      </w:rPr>
    </w:lvl>
  </w:abstractNum>
  <w:abstractNum w:abstractNumId="2">
    <w:lvl w:ilvl="0">
      <w:start w:val="1"/>
      <w:numFmt w:val="upperLetter"/>
      <w:lvlText w:val="%1."/>
      <w:lvlJc w:val="left"/>
      <w:pPr>
        <w:ind w:left="709" w:hanging="709"/>
      </w:pPr>
      <w:rPr>
        <w:rFonts w:ascii="Times New Roman" w:cs="Times New Roman" w:eastAsia="Times New Roman" w:hAnsi="Times New Roman"/>
        <w:b w:val="1"/>
        <w:bCs w:val="1"/>
        <w:i w:val="0"/>
        <w:iCs w:val="0"/>
        <w:sz w:val="22"/>
        <w:szCs w:val="22"/>
      </w:rPr>
    </w:lvl>
    <w:lvl w:ilvl="1">
      <w:start w:val="1"/>
      <w:numFmt w:val="lowerRoman"/>
      <w:lvlText w:val="(%2)"/>
      <w:lvlJc w:val="left"/>
      <w:pPr>
        <w:ind w:left="1440" w:hanging="7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92219F"/>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2219F"/>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2219F"/>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2219F"/>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92219F"/>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92219F"/>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92219F"/>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92219F"/>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92219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2219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2219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2219F"/>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92219F"/>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92219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2219F"/>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92219F"/>
    <w:rPr>
      <w:i w:val="1"/>
      <w:iCs w:val="1"/>
      <w:color w:val="404040" w:themeColor="text1" w:themeTint="0000BF"/>
    </w:rPr>
  </w:style>
  <w:style w:type="paragraph" w:styleId="ListParagraph">
    <w:name w:val="List Paragraph"/>
    <w:basedOn w:val="Normal"/>
    <w:uiPriority w:val="34"/>
    <w:qFormat w:val="1"/>
    <w:rsid w:val="0092219F"/>
    <w:pPr>
      <w:ind w:left="720"/>
      <w:contextualSpacing w:val="1"/>
    </w:pPr>
  </w:style>
  <w:style w:type="character" w:styleId="IntenseEmphasis">
    <w:name w:val="Intense Emphasis"/>
    <w:basedOn w:val="DefaultParagraphFont"/>
    <w:uiPriority w:val="21"/>
    <w:qFormat w:val="1"/>
    <w:rsid w:val="0092219F"/>
    <w:rPr>
      <w:i w:val="1"/>
      <w:iCs w:val="1"/>
      <w:color w:val="2f5496" w:themeColor="accent1" w:themeShade="0000BF"/>
    </w:rPr>
  </w:style>
  <w:style w:type="paragraph" w:styleId="IntenseQuote">
    <w:name w:val="Intense Quote"/>
    <w:basedOn w:val="Normal"/>
    <w:next w:val="Normal"/>
    <w:link w:val="IntenseQuoteChar"/>
    <w:uiPriority w:val="30"/>
    <w:qFormat w:val="1"/>
    <w:rsid w:val="0092219F"/>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92219F"/>
    <w:rPr>
      <w:i w:val="1"/>
      <w:iCs w:val="1"/>
      <w:color w:val="2f5496" w:themeColor="accent1" w:themeShade="0000BF"/>
    </w:rPr>
  </w:style>
  <w:style w:type="character" w:styleId="IntenseReference">
    <w:name w:val="Intense Reference"/>
    <w:basedOn w:val="DefaultParagraphFont"/>
    <w:uiPriority w:val="32"/>
    <w:qFormat w:val="1"/>
    <w:rsid w:val="0092219F"/>
    <w:rPr>
      <w:b w:val="1"/>
      <w:bCs w:val="1"/>
      <w:smallCaps w:val="1"/>
      <w:color w:val="2f5496" w:themeColor="accent1" w:themeShade="0000BF"/>
      <w:spacing w:val="5"/>
    </w:rPr>
  </w:style>
  <w:style w:type="table" w:styleId="TableGrid">
    <w:name w:val="Table Grid"/>
    <w:basedOn w:val="TableNormal"/>
    <w:uiPriority w:val="39"/>
    <w:rsid w:val="009221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E1Parties" w:customStyle="1">
    <w:name w:val="SuE (1) Parties"/>
    <w:basedOn w:val="Normal"/>
    <w:uiPriority w:val="1"/>
    <w:rsid w:val="0092219F"/>
    <w:pPr>
      <w:numPr>
        <w:numId w:val="1"/>
      </w:numPr>
      <w:spacing w:after="120" w:before="120" w:line="276" w:lineRule="auto"/>
      <w:jc w:val="both"/>
    </w:pPr>
    <w:rPr>
      <w:rFonts w:ascii="Times New Roman" w:cs="Arial" w:eastAsia="Arial" w:hAnsi="Times New Roman"/>
      <w:noProof w:val="1"/>
      <w:color w:val="000000" w:themeColor="text1"/>
      <w:kern w:val="0"/>
      <w:sz w:val="22"/>
      <w:szCs w:val="21"/>
      <w:lang w:val="en-GB"/>
    </w:rPr>
  </w:style>
  <w:style w:type="paragraph" w:styleId="FootnoteText">
    <w:name w:val="footnote text"/>
    <w:basedOn w:val="Normal"/>
    <w:link w:val="FootnoteTextChar"/>
    <w:uiPriority w:val="99"/>
    <w:semiHidden w:val="1"/>
    <w:unhideWhenUsed w:val="1"/>
    <w:rsid w:val="005415AD"/>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5415AD"/>
    <w:rPr>
      <w:sz w:val="20"/>
      <w:szCs w:val="20"/>
    </w:rPr>
  </w:style>
  <w:style w:type="character" w:styleId="FootnoteReference">
    <w:name w:val="footnote reference"/>
    <w:basedOn w:val="DefaultParagraphFont"/>
    <w:uiPriority w:val="99"/>
    <w:semiHidden w:val="1"/>
    <w:unhideWhenUsed w:val="1"/>
    <w:rsid w:val="005415AD"/>
    <w:rPr>
      <w:vertAlign w:val="superscript"/>
    </w:rPr>
  </w:style>
  <w:style w:type="paragraph" w:styleId="NormalWeb">
    <w:name w:val="Normal (Web)"/>
    <w:basedOn w:val="Normal"/>
    <w:uiPriority w:val="99"/>
    <w:semiHidden w:val="1"/>
    <w:unhideWhenUsed w:val="1"/>
    <w:rsid w:val="005415AD"/>
    <w:rPr>
      <w:rFonts w:ascii="Times New Roman" w:cs="Times New Roman" w:hAnsi="Times New Roman"/>
    </w:rPr>
  </w:style>
  <w:style w:type="character" w:styleId="CommentReference">
    <w:name w:val="annotation reference"/>
    <w:basedOn w:val="DefaultParagraphFont"/>
    <w:uiPriority w:val="99"/>
    <w:semiHidden w:val="1"/>
    <w:unhideWhenUsed w:val="1"/>
    <w:rsid w:val="00BB4532"/>
    <w:rPr>
      <w:sz w:val="16"/>
      <w:szCs w:val="16"/>
    </w:rPr>
  </w:style>
  <w:style w:type="paragraph" w:styleId="CommentText">
    <w:name w:val="annotation text"/>
    <w:basedOn w:val="Normal"/>
    <w:link w:val="CommentTextChar"/>
    <w:uiPriority w:val="99"/>
    <w:unhideWhenUsed w:val="1"/>
    <w:rsid w:val="00BB4532"/>
    <w:pPr>
      <w:spacing w:line="240" w:lineRule="auto"/>
    </w:pPr>
    <w:rPr>
      <w:sz w:val="20"/>
      <w:szCs w:val="20"/>
    </w:rPr>
  </w:style>
  <w:style w:type="character" w:styleId="CommentTextChar" w:customStyle="1">
    <w:name w:val="Comment Text Char"/>
    <w:basedOn w:val="DefaultParagraphFont"/>
    <w:link w:val="CommentText"/>
    <w:uiPriority w:val="99"/>
    <w:rsid w:val="00BB4532"/>
    <w:rPr>
      <w:sz w:val="20"/>
      <w:szCs w:val="20"/>
    </w:rPr>
  </w:style>
  <w:style w:type="paragraph" w:styleId="CommentSubject">
    <w:name w:val="annotation subject"/>
    <w:basedOn w:val="CommentText"/>
    <w:next w:val="CommentText"/>
    <w:link w:val="CommentSubjectChar"/>
    <w:uiPriority w:val="99"/>
    <w:semiHidden w:val="1"/>
    <w:unhideWhenUsed w:val="1"/>
    <w:rsid w:val="00BB4532"/>
    <w:rPr>
      <w:b w:val="1"/>
      <w:bCs w:val="1"/>
    </w:rPr>
  </w:style>
  <w:style w:type="character" w:styleId="CommentSubjectChar" w:customStyle="1">
    <w:name w:val="Comment Subject Char"/>
    <w:basedOn w:val="CommentTextChar"/>
    <w:link w:val="CommentSubject"/>
    <w:uiPriority w:val="99"/>
    <w:semiHidden w:val="1"/>
    <w:rsid w:val="00BB4532"/>
    <w:rPr>
      <w:b w:val="1"/>
      <w:bCs w:val="1"/>
      <w:sz w:val="20"/>
      <w:szCs w:val="20"/>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Unbounded-regular.ttf"/><Relationship Id="rId2" Type="http://schemas.openxmlformats.org/officeDocument/2006/relationships/font" Target="fonts/Unbounded-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 Id="rId3" Type="http://schemas.openxmlformats.org/officeDocument/2006/relationships/image" Target="media/image10.png"/><Relationship Id="rId4" Type="http://schemas.openxmlformats.org/officeDocument/2006/relationships/image" Target="media/image1.png"/><Relationship Id="rId11" Type="http://schemas.openxmlformats.org/officeDocument/2006/relationships/image" Target="media/image8.png"/><Relationship Id="rId10" Type="http://schemas.openxmlformats.org/officeDocument/2006/relationships/image" Target="media/image13.png"/><Relationship Id="rId9" Type="http://schemas.openxmlformats.org/officeDocument/2006/relationships/image" Target="media/image4.png"/><Relationship Id="rId5" Type="http://schemas.openxmlformats.org/officeDocument/2006/relationships/image" Target="media/image9.png"/><Relationship Id="rId6" Type="http://schemas.openxmlformats.org/officeDocument/2006/relationships/image" Target="media/image11.png"/><Relationship Id="rId7" Type="http://schemas.openxmlformats.org/officeDocument/2006/relationships/image" Target="media/image7.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7lNIjlywfEXy+64341olIrQZdQ==">CgMxLjAaHwoBMBIaChgICVIUChJ0YWJsZS5vejBsYWJ4cmo4NmwyCGguZ2pkZ3hzMg5oLnZ2enBxejNzcjRybDIIaC5ubWYxNG4yCWguMzdtMmpzZzIJaC4xbXJjdTA5OAByITF1UzhvSndEbmdfZk56VVhrSGVQbUJ0MVgxZ0syWkxFQQ==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2025-08-22T12:53:00Z</dcterms:created>
  <dc:creator>Barbara Sulyok</dc:creator>
</cp:coreProperties>
</file>