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smallCaps w:val="1"/>
                <w:color w:val="000000"/>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TAGI MEGÁLLAPODÁS TŐKÉVÉ KONVERTÁLHATÓ INSTRUMENTUMOK KIBOCSÁTÁSÁRA</w:t>
            </w:r>
          </w:p>
          <w:p w:rsidR="00000000" w:rsidDel="00000000" w:rsidP="00000000" w:rsidRDefault="00000000" w:rsidRPr="00000000" w14:paraId="00000003">
            <w:pPr>
              <w:jc w:val="center"/>
              <w:rPr>
                <w:rFonts w:ascii="Times New Roman" w:cs="Times New Roman" w:eastAsia="Times New Roman" w:hAnsi="Times New Roman"/>
                <w:b w:val="1"/>
                <w:bCs w:val="1"/>
                <w:smallCaps w:val="1"/>
                <w:sz w:val="22"/>
                <w:szCs w:val="22"/>
              </w:rPr>
            </w:pPr>
            <w:bookmarkStart w:colFirst="0" w:colLast="0" w:name="_heading=h.me2viu7x7n1f" w:id="0"/>
            <w:bookmarkEnd w:id="0"/>
            <w:r w:rsidDel="00000000" w:rsidR="00000000" w:rsidRPr="00000000">
              <w:rPr>
                <w:rFonts w:ascii="Times New Roman" w:cs="Times New Roman" w:eastAsia="Times New Roman" w:hAnsi="Times New Roman"/>
                <w:b w:val="1"/>
                <w:bCs w:val="1"/>
                <w:sz w:val="22"/>
                <w:szCs w:val="22"/>
                <w:rtl w:val="0"/>
              </w:rPr>
              <w:t xml:space="preserve">(Jóváhagyási Megállapodás)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smallCaps w:val="1"/>
                <w:sz w:val="22"/>
                <w:szCs w:val="22"/>
              </w:rPr>
            </w:pPr>
            <w:r w:rsidDel="00000000" w:rsidR="00000000" w:rsidRPr="00000000">
              <w:rPr>
                <w:rtl w:val="0"/>
              </w:rPr>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color w:val="000000"/>
                <w:sz w:val="22"/>
                <w:szCs w:val="22"/>
              </w:rPr>
            </w:pPr>
            <w:bookmarkStart w:colFirst="0" w:colLast="0" w:name="_heading=h.gjdgxs" w:id="1"/>
            <w:bookmarkEnd w:id="1"/>
            <w:r w:rsidDel="00000000" w:rsidR="00000000" w:rsidRPr="00000000">
              <w:rPr>
                <w:rFonts w:ascii="Times New Roman" w:cs="Times New Roman" w:eastAsia="Times New Roman" w:hAnsi="Times New Roman"/>
                <w:b w:val="1"/>
                <w:bCs w:val="1"/>
                <w:color w:val="000000"/>
                <w:sz w:val="22"/>
                <w:szCs w:val="22"/>
                <w:rtl w:val="0"/>
              </w:rPr>
              <w:t xml:space="preserve">AGREEMENT REGARDING CONVERTIBLE INSTRUMENTS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bCs w:val="1"/>
                <w:sz w:val="22"/>
                <w:szCs w:val="22"/>
              </w:rPr>
            </w:pPr>
            <w:bookmarkStart w:colFirst="0" w:colLast="0" w:name="_heading=h.me2viu7x7n1f" w:id="0"/>
            <w:bookmarkEnd w:id="0"/>
            <w:r w:rsidDel="00000000" w:rsidR="00000000" w:rsidRPr="00000000">
              <w:rPr>
                <w:rFonts w:ascii="Times New Roman" w:cs="Times New Roman" w:eastAsia="Times New Roman" w:hAnsi="Times New Roman"/>
                <w:b w:val="1"/>
                <w:bCs w:val="1"/>
                <w:sz w:val="22"/>
                <w:szCs w:val="22"/>
                <w:rtl w:val="0"/>
              </w:rPr>
              <w:t xml:space="preserve">(Approval Agreement)</w:t>
            </w:r>
          </w:p>
        </w:tc>
      </w:tr>
      <w:tr>
        <w:trPr>
          <w:cantSplit w:val="0"/>
          <w:tblHeader w:val="0"/>
        </w:trPr>
        <w:tc>
          <w:tcPr/>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Jelen Konvertálható Instrumentumokra vonatkozó megállapodás (a továbbiakban: „</w:t>
            </w:r>
            <w:r w:rsidDel="00000000" w:rsidR="00000000" w:rsidRPr="00000000">
              <w:rPr>
                <w:rFonts w:ascii="Times New Roman" w:cs="Times New Roman" w:eastAsia="Times New Roman" w:hAnsi="Times New Roman"/>
                <w:b w:val="1"/>
                <w:bCs w:val="1"/>
                <w:color w:val="000000"/>
                <w:sz w:val="22"/>
                <w:szCs w:val="22"/>
                <w:rtl w:val="0"/>
              </w:rPr>
              <w:t xml:space="preserve">Megállapodás</w:t>
            </w:r>
            <w:r w:rsidDel="00000000" w:rsidR="00000000" w:rsidRPr="00000000">
              <w:rPr>
                <w:rFonts w:ascii="Times New Roman" w:cs="Times New Roman" w:eastAsia="Times New Roman" w:hAnsi="Times New Roman"/>
                <w:color w:val="000000"/>
                <w:sz w:val="22"/>
                <w:szCs w:val="22"/>
                <w:rtl w:val="0"/>
              </w:rPr>
              <w:t xml:space="preserve">”) [dátum]-i keltezéssel (a továbbiakban: „</w:t>
            </w:r>
            <w:r w:rsidDel="00000000" w:rsidR="00000000" w:rsidRPr="00000000">
              <w:rPr>
                <w:rFonts w:ascii="Times New Roman" w:cs="Times New Roman" w:eastAsia="Times New Roman" w:hAnsi="Times New Roman"/>
                <w:b w:val="1"/>
                <w:bCs w:val="1"/>
                <w:color w:val="000000"/>
                <w:sz w:val="22"/>
                <w:szCs w:val="22"/>
                <w:rtl w:val="0"/>
              </w:rPr>
              <w:t xml:space="preserve">Aláírás napja</w:t>
            </w:r>
            <w:r w:rsidDel="00000000" w:rsidR="00000000" w:rsidRPr="00000000">
              <w:rPr>
                <w:rFonts w:ascii="Times New Roman" w:cs="Times New Roman" w:eastAsia="Times New Roman" w:hAnsi="Times New Roman"/>
                <w:color w:val="000000"/>
                <w:sz w:val="22"/>
                <w:szCs w:val="22"/>
                <w:rtl w:val="0"/>
              </w:rPr>
              <w:t xml:space="preserve">”) a Társaság, valamint a Társaság tagjai (a továbbiakban: „</w:t>
            </w:r>
            <w:r w:rsidDel="00000000" w:rsidR="00000000" w:rsidRPr="00000000">
              <w:rPr>
                <w:rFonts w:ascii="Times New Roman" w:cs="Times New Roman" w:eastAsia="Times New Roman" w:hAnsi="Times New Roman"/>
                <w:b w:val="1"/>
                <w:bCs w:val="1"/>
                <w:color w:val="000000"/>
                <w:sz w:val="22"/>
                <w:szCs w:val="22"/>
                <w:rtl w:val="0"/>
              </w:rPr>
              <w:t xml:space="preserve">Tagok</w:t>
            </w:r>
            <w:r w:rsidDel="00000000" w:rsidR="00000000" w:rsidRPr="00000000">
              <w:rPr>
                <w:rFonts w:ascii="Times New Roman" w:cs="Times New Roman" w:eastAsia="Times New Roman" w:hAnsi="Times New Roman"/>
                <w:color w:val="000000"/>
                <w:sz w:val="22"/>
                <w:szCs w:val="22"/>
                <w:rtl w:val="0"/>
              </w:rPr>
              <w:t xml:space="preserve">”) között jött létre (a továbbiakban együtt: </w:t>
            </w:r>
            <w:r w:rsidDel="00000000" w:rsidR="00000000" w:rsidRPr="00000000">
              <w:rPr>
                <w:rFonts w:ascii="Times New Roman" w:cs="Times New Roman" w:eastAsia="Times New Roman" w:hAnsi="Times New Roman"/>
                <w:b w:val="1"/>
                <w:bCs w:val="1"/>
                <w:color w:val="000000"/>
                <w:sz w:val="22"/>
                <w:szCs w:val="22"/>
                <w:rtl w:val="0"/>
              </w:rPr>
              <w:t xml:space="preserve">Felek</w:t>
            </w:r>
            <w:r w:rsidDel="00000000" w:rsidR="00000000" w:rsidRPr="00000000">
              <w:rPr>
                <w:rFonts w:ascii="Times New Roman" w:cs="Times New Roman" w:eastAsia="Times New Roman" w:hAnsi="Times New Roman"/>
                <w:color w:val="000000"/>
                <w:sz w:val="22"/>
                <w:szCs w:val="22"/>
                <w:rtl w:val="0"/>
              </w:rPr>
              <w:t xml:space="preserve">). A Felek adatai az aláírási oldalon kerültek feltüntetésre.</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This agreement regarding convertible instruments (the “</w:t>
            </w:r>
            <w:r w:rsidDel="00000000" w:rsidR="00000000" w:rsidRPr="00000000">
              <w:rPr>
                <w:rFonts w:ascii="Times New Roman" w:cs="Times New Roman" w:eastAsia="Times New Roman" w:hAnsi="Times New Roman"/>
                <w:b w:val="1"/>
                <w:bCs w:val="1"/>
                <w:color w:val="000000"/>
                <w:sz w:val="22"/>
                <w:szCs w:val="22"/>
                <w:rtl w:val="0"/>
              </w:rPr>
              <w:t xml:space="preserve">Agreement</w:t>
            </w:r>
            <w:r w:rsidDel="00000000" w:rsidR="00000000" w:rsidRPr="00000000">
              <w:rPr>
                <w:rFonts w:ascii="Times New Roman" w:cs="Times New Roman" w:eastAsia="Times New Roman" w:hAnsi="Times New Roman"/>
                <w:color w:val="000000"/>
                <w:sz w:val="22"/>
                <w:szCs w:val="22"/>
                <w:rtl w:val="0"/>
              </w:rPr>
              <w:t xml:space="preserve">”) is dated [date] (the “</w:t>
            </w:r>
            <w:r w:rsidDel="00000000" w:rsidR="00000000" w:rsidRPr="00000000">
              <w:rPr>
                <w:rFonts w:ascii="Times New Roman" w:cs="Times New Roman" w:eastAsia="Times New Roman" w:hAnsi="Times New Roman"/>
                <w:b w:val="1"/>
                <w:bCs w:val="1"/>
                <w:color w:val="000000"/>
                <w:sz w:val="22"/>
                <w:szCs w:val="22"/>
                <w:rtl w:val="0"/>
              </w:rPr>
              <w:t xml:space="preserve">Signing Date</w:t>
            </w:r>
            <w:r w:rsidDel="00000000" w:rsidR="00000000" w:rsidRPr="00000000">
              <w:rPr>
                <w:rFonts w:ascii="Times New Roman" w:cs="Times New Roman" w:eastAsia="Times New Roman" w:hAnsi="Times New Roman"/>
                <w:color w:val="000000"/>
                <w:sz w:val="22"/>
                <w:szCs w:val="22"/>
                <w:rtl w:val="0"/>
              </w:rPr>
              <w:t xml:space="preserve">”) and is between the Company and its shareholders (the “</w:t>
            </w:r>
            <w:r w:rsidDel="00000000" w:rsidR="00000000" w:rsidRPr="00000000">
              <w:rPr>
                <w:rFonts w:ascii="Times New Roman" w:cs="Times New Roman" w:eastAsia="Times New Roman" w:hAnsi="Times New Roman"/>
                <w:b w:val="1"/>
                <w:bCs w:val="1"/>
                <w:color w:val="000000"/>
                <w:sz w:val="22"/>
                <w:szCs w:val="22"/>
                <w:rtl w:val="0"/>
              </w:rPr>
              <w:t xml:space="preserve">Shareholders</w:t>
            </w:r>
            <w:r w:rsidDel="00000000" w:rsidR="00000000" w:rsidRPr="00000000">
              <w:rPr>
                <w:rFonts w:ascii="Times New Roman" w:cs="Times New Roman" w:eastAsia="Times New Roman" w:hAnsi="Times New Roman"/>
                <w:color w:val="000000"/>
                <w:sz w:val="22"/>
                <w:szCs w:val="22"/>
                <w:rtl w:val="0"/>
              </w:rPr>
              <w:t xml:space="preserve">”) whose details are set out on the signature page (each also a “</w:t>
            </w:r>
            <w:r w:rsidDel="00000000" w:rsidR="00000000" w:rsidRPr="00000000">
              <w:rPr>
                <w:rFonts w:ascii="Times New Roman" w:cs="Times New Roman" w:eastAsia="Times New Roman" w:hAnsi="Times New Roman"/>
                <w:b w:val="1"/>
                <w:bCs w:val="1"/>
                <w:color w:val="000000"/>
                <w:sz w:val="22"/>
                <w:szCs w:val="22"/>
                <w:rtl w:val="0"/>
              </w:rPr>
              <w:t xml:space="preserve">Party</w:t>
            </w:r>
            <w:r w:rsidDel="00000000" w:rsidR="00000000" w:rsidRPr="00000000">
              <w:rPr>
                <w:rFonts w:ascii="Times New Roman" w:cs="Times New Roman" w:eastAsia="Times New Roman" w:hAnsi="Times New Roman"/>
                <w:color w:val="000000"/>
                <w:sz w:val="22"/>
                <w:szCs w:val="22"/>
                <w:rtl w:val="0"/>
              </w:rPr>
              <w:t xml:space="preserve">” and together the “</w:t>
            </w:r>
            <w:r w:rsidDel="00000000" w:rsidR="00000000" w:rsidRPr="00000000">
              <w:rPr>
                <w:rFonts w:ascii="Times New Roman" w:cs="Times New Roman" w:eastAsia="Times New Roman" w:hAnsi="Times New Roman"/>
                <w:b w:val="1"/>
                <w:bCs w:val="1"/>
                <w:color w:val="000000"/>
                <w:sz w:val="22"/>
                <w:szCs w:val="22"/>
                <w:rtl w:val="0"/>
              </w:rPr>
              <w:t xml:space="preserve">Parties</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B">
            <w:pPr>
              <w:pBdr>
                <w:top w:space="0" w:sz="0" w:val="nil"/>
                <w:left w:space="0" w:sz="0" w:val="nil"/>
                <w:bottom w:space="0" w:sz="0" w:val="nil"/>
                <w:right w:space="0" w:sz="0" w:val="nil"/>
                <w:between w:space="0" w:sz="0" w:val="nil"/>
              </w:pBdr>
              <w:ind w:left="306" w:hanging="306"/>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A.</w:t>
            </w:r>
            <w:r w:rsidDel="00000000" w:rsidR="00000000" w:rsidRPr="00000000">
              <w:rPr>
                <w:rFonts w:ascii="Times New Roman" w:cs="Times New Roman" w:eastAsia="Times New Roman" w:hAnsi="Times New Roman"/>
                <w:color w:val="000000"/>
                <w:sz w:val="22"/>
                <w:szCs w:val="22"/>
                <w:rtl w:val="0"/>
              </w:rPr>
              <w:t xml:space="preserve"> A Társaság a működésének finanszírozása céljából az alábbi módon kíván tőkét bevonni: [1.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[egy vagy több Befektető (a továbbiakban: „</w:t>
            </w:r>
            <w:r w:rsidDel="00000000" w:rsidR="00000000" w:rsidRPr="00000000">
              <w:rPr>
                <w:rFonts w:ascii="Times New Roman" w:cs="Times New Roman" w:eastAsia="Times New Roman" w:hAnsi="Times New Roman"/>
                <w:b w:val="1"/>
                <w:bCs w:val="1"/>
                <w:color w:val="000000"/>
                <w:sz w:val="22"/>
                <w:szCs w:val="22"/>
                <w:rtl w:val="0"/>
              </w:rPr>
              <w:t xml:space="preserve">Befektetők</w:t>
            </w:r>
            <w:r w:rsidDel="00000000" w:rsidR="00000000" w:rsidRPr="00000000">
              <w:rPr>
                <w:rFonts w:ascii="Times New Roman" w:cs="Times New Roman" w:eastAsia="Times New Roman" w:hAnsi="Times New Roman"/>
                <w:color w:val="000000"/>
                <w:sz w:val="22"/>
                <w:szCs w:val="22"/>
                <w:rtl w:val="0"/>
              </w:rPr>
              <w:t xml:space="preserve">”) által nyújtott Konvertálható kölcsönök (a továbbiakban: „</w:t>
            </w:r>
            <w:r w:rsidDel="00000000" w:rsidR="00000000" w:rsidRPr="00000000">
              <w:rPr>
                <w:rFonts w:ascii="Times New Roman" w:cs="Times New Roman" w:eastAsia="Times New Roman" w:hAnsi="Times New Roman"/>
                <w:b w:val="1"/>
                <w:bCs w:val="1"/>
                <w:color w:val="000000"/>
                <w:sz w:val="22"/>
                <w:szCs w:val="22"/>
                <w:rtl w:val="0"/>
              </w:rPr>
              <w:t xml:space="preserve">Konvertálható Instrumentumok</w:t>
            </w:r>
            <w:r w:rsidDel="00000000" w:rsidR="00000000" w:rsidRPr="00000000">
              <w:rPr>
                <w:rFonts w:ascii="Times New Roman" w:cs="Times New Roman" w:eastAsia="Times New Roman" w:hAnsi="Times New Roman"/>
                <w:color w:val="000000"/>
                <w:sz w:val="22"/>
                <w:szCs w:val="22"/>
                <w:rtl w:val="0"/>
              </w:rPr>
              <w:t xml:space="preserve">”) útján], [2.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[egy vagy több Befektető (a továbbiakban: „</w:t>
            </w:r>
            <w:r w:rsidDel="00000000" w:rsidR="00000000" w:rsidRPr="00000000">
              <w:rPr>
                <w:rFonts w:ascii="Times New Roman" w:cs="Times New Roman" w:eastAsia="Times New Roman" w:hAnsi="Times New Roman"/>
                <w:b w:val="1"/>
                <w:bCs w:val="1"/>
                <w:color w:val="000000"/>
                <w:sz w:val="22"/>
                <w:szCs w:val="22"/>
                <w:rtl w:val="0"/>
              </w:rPr>
              <w:t xml:space="preserve">Befektetők</w:t>
            </w:r>
            <w:r w:rsidDel="00000000" w:rsidR="00000000" w:rsidRPr="00000000">
              <w:rPr>
                <w:rFonts w:ascii="Times New Roman" w:cs="Times New Roman" w:eastAsia="Times New Roman" w:hAnsi="Times New Roman"/>
                <w:color w:val="000000"/>
                <w:sz w:val="22"/>
                <w:szCs w:val="22"/>
                <w:rtl w:val="0"/>
              </w:rPr>
              <w:t xml:space="preserve">”) által kötött, jövőbeli részesedésre vonatkozó egyszerű megállapodások (SAFE-ek, a továbbiakban: „</w:t>
            </w:r>
            <w:r w:rsidDel="00000000" w:rsidR="00000000" w:rsidRPr="00000000">
              <w:rPr>
                <w:rFonts w:ascii="Times New Roman" w:cs="Times New Roman" w:eastAsia="Times New Roman" w:hAnsi="Times New Roman"/>
                <w:b w:val="1"/>
                <w:bCs w:val="1"/>
                <w:color w:val="000000"/>
                <w:sz w:val="22"/>
                <w:szCs w:val="22"/>
                <w:rtl w:val="0"/>
              </w:rPr>
              <w:t xml:space="preserve">Konvertálható Instrumentumok</w:t>
            </w:r>
            <w:r w:rsidDel="00000000" w:rsidR="00000000" w:rsidRPr="00000000">
              <w:rPr>
                <w:rFonts w:ascii="Times New Roman" w:cs="Times New Roman" w:eastAsia="Times New Roman" w:hAnsi="Times New Roman"/>
                <w:color w:val="000000"/>
                <w:sz w:val="22"/>
                <w:szCs w:val="22"/>
                <w:rtl w:val="0"/>
              </w:rPr>
              <w:t xml:space="preserve">”) útján]</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306" w:hanging="306"/>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ind w:left="685" w:hanging="6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ab/>
              <w:t xml:space="preserve">The Company is seeking financing for its business by way of [OPTION 1:] [convertible loans (the “</w:t>
            </w:r>
            <w:r w:rsidDel="00000000" w:rsidR="00000000" w:rsidRPr="00000000">
              <w:rPr>
                <w:rFonts w:ascii="Times New Roman" w:cs="Times New Roman" w:eastAsia="Times New Roman" w:hAnsi="Times New Roman"/>
                <w:b w:val="1"/>
                <w:bCs w:val="1"/>
                <w:sz w:val="22"/>
                <w:szCs w:val="22"/>
                <w:rtl w:val="0"/>
              </w:rPr>
              <w:t xml:space="preserve">Convertible Instruments</w:t>
            </w:r>
            <w:r w:rsidDel="00000000" w:rsidR="00000000" w:rsidRPr="00000000">
              <w:rPr>
                <w:rFonts w:ascii="Times New Roman" w:cs="Times New Roman" w:eastAsia="Times New Roman" w:hAnsi="Times New Roman"/>
                <w:sz w:val="22"/>
                <w:szCs w:val="22"/>
                <w:rtl w:val="0"/>
              </w:rPr>
              <w:t xml:space="preserve">”) to be granted by one or more investors (the “</w:t>
            </w:r>
            <w:r w:rsidDel="00000000" w:rsidR="00000000" w:rsidRPr="00000000">
              <w:rPr>
                <w:rFonts w:ascii="Times New Roman" w:cs="Times New Roman" w:eastAsia="Times New Roman" w:hAnsi="Times New Roman"/>
                <w:b w:val="1"/>
                <w:bCs w:val="1"/>
                <w:sz w:val="22"/>
                <w:szCs w:val="22"/>
                <w:rtl w:val="0"/>
              </w:rPr>
              <w:t xml:space="preserve">Investors</w:t>
            </w:r>
            <w:r w:rsidDel="00000000" w:rsidR="00000000" w:rsidRPr="00000000">
              <w:rPr>
                <w:rFonts w:ascii="Times New Roman" w:cs="Times New Roman" w:eastAsia="Times New Roman" w:hAnsi="Times New Roman"/>
                <w:sz w:val="22"/>
                <w:szCs w:val="22"/>
                <w:rtl w:val="0"/>
              </w:rPr>
              <w:t xml:space="preserve">”)] [OPTION 2:] [simple agreements for future equity (SAFEs)] (the “</w:t>
            </w:r>
            <w:r w:rsidDel="00000000" w:rsidR="00000000" w:rsidRPr="00000000">
              <w:rPr>
                <w:rFonts w:ascii="Times New Roman" w:cs="Times New Roman" w:eastAsia="Times New Roman" w:hAnsi="Times New Roman"/>
                <w:b w:val="1"/>
                <w:bCs w:val="1"/>
                <w:sz w:val="22"/>
                <w:szCs w:val="22"/>
                <w:rtl w:val="0"/>
              </w:rPr>
              <w:t xml:space="preserve">Convertible Instruments</w:t>
            </w:r>
            <w:r w:rsidDel="00000000" w:rsidR="00000000" w:rsidRPr="00000000">
              <w:rPr>
                <w:rFonts w:ascii="Times New Roman" w:cs="Times New Roman" w:eastAsia="Times New Roman" w:hAnsi="Times New Roman"/>
                <w:sz w:val="22"/>
                <w:szCs w:val="22"/>
                <w:rtl w:val="0"/>
              </w:rPr>
              <w:t xml:space="preserve">”) to be entered into by one or more investors (the “</w:t>
            </w:r>
            <w:r w:rsidDel="00000000" w:rsidR="00000000" w:rsidRPr="00000000">
              <w:rPr>
                <w:rFonts w:ascii="Times New Roman" w:cs="Times New Roman" w:eastAsia="Times New Roman" w:hAnsi="Times New Roman"/>
                <w:b w:val="1"/>
                <w:bCs w:val="1"/>
                <w:sz w:val="22"/>
                <w:szCs w:val="22"/>
                <w:rtl w:val="0"/>
              </w:rPr>
              <w:t xml:space="preserve">Investors</w:t>
            </w:r>
            <w:r w:rsidDel="00000000" w:rsidR="00000000" w:rsidRPr="00000000">
              <w:rPr>
                <w:rFonts w:ascii="Times New Roman" w:cs="Times New Roman" w:eastAsia="Times New Roman" w:hAnsi="Times New Roman"/>
                <w:sz w:val="22"/>
                <w:szCs w:val="22"/>
                <w:rtl w:val="0"/>
              </w:rPr>
              <w:t xml:space="preserve">”)].</w:t>
            </w:r>
          </w:p>
        </w:tc>
      </w:tr>
      <w:tr>
        <w:trPr>
          <w:cantSplit w:val="0"/>
          <w:tblHeader w:val="0"/>
        </w:trPr>
        <w:tc>
          <w:tcPr/>
          <w:p w:rsidR="00000000" w:rsidDel="00000000" w:rsidP="00000000" w:rsidRDefault="00000000" w:rsidRPr="00000000" w14:paraId="0000000E">
            <w:pPr>
              <w:pBdr>
                <w:top w:space="0" w:sz="0" w:val="nil"/>
                <w:left w:space="0" w:sz="0" w:val="nil"/>
                <w:bottom w:space="0" w:sz="0" w:val="nil"/>
                <w:right w:space="0" w:sz="0" w:val="nil"/>
                <w:between w:space="0" w:sz="0" w:val="nil"/>
              </w:pBdr>
              <w:ind w:left="306" w:hanging="306"/>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B.</w:t>
            </w:r>
            <w:r w:rsidDel="00000000" w:rsidR="00000000" w:rsidRPr="00000000">
              <w:rPr>
                <w:rFonts w:ascii="Times New Roman" w:cs="Times New Roman" w:eastAsia="Times New Roman" w:hAnsi="Times New Roman"/>
                <w:color w:val="000000"/>
                <w:sz w:val="22"/>
                <w:szCs w:val="22"/>
                <w:rtl w:val="0"/>
              </w:rPr>
              <w:t xml:space="preserve"> Az alulírott Tagok [ha a Társaság kft. formában működik vagy Részvényesek, ha a Társaság zártkörű részvénytársaság (zrt.) formában működik</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akiknek részesedései </w:t>
            </w:r>
            <w:r w:rsidDel="00000000" w:rsidR="00000000" w:rsidRPr="00000000">
              <w:rPr>
                <w:rFonts w:ascii="Times New Roman" w:cs="Times New Roman" w:eastAsia="Times New Roman" w:hAnsi="Times New Roman"/>
                <w:sz w:val="22"/>
                <w:szCs w:val="22"/>
                <w:rtl w:val="0"/>
              </w:rPr>
              <w:t xml:space="preserve">[üzletrészei ha a Társaság kft. formában működik vagy részvényei, ha a Társaság zártkörű részvénytársaság (zrt.) formában működik]</w:t>
            </w:r>
            <w:r w:rsidDel="00000000" w:rsidR="00000000" w:rsidRPr="00000000">
              <w:rPr>
                <w:rFonts w:ascii="Times New Roman" w:cs="Times New Roman" w:eastAsia="Times New Roman" w:hAnsi="Times New Roman"/>
                <w:color w:val="000000"/>
                <w:sz w:val="22"/>
                <w:szCs w:val="22"/>
                <w:rtl w:val="0"/>
              </w:rPr>
              <w:t xml:space="preserve"> a Társaság jegyzett tőkéjének 100%-át képviselik, ezennel a Megállapodásban rögzítettek szerint jóváhagyják a Konvertálható Instrumentumok alkalmazását, és vállalják, hogy a konvertálására vonatkozóan az alábbiakban meghatározott feltételekkel megteszik a szükséges intézkedéseket.</w:t>
            </w:r>
          </w:p>
        </w:tc>
        <w:tc>
          <w:tcPr/>
          <w:p w:rsidR="00000000" w:rsidDel="00000000" w:rsidP="00000000" w:rsidRDefault="00000000" w:rsidRPr="00000000" w14:paraId="0000000F">
            <w:pPr>
              <w:ind w:left="685" w:hanging="685"/>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color w:val="000000"/>
                <w:sz w:val="22"/>
                <w:szCs w:val="22"/>
                <w:rtl w:val="0"/>
              </w:rPr>
              <w:t xml:space="preserve">The undersigned Shareholders (tagok in Hungarian [OR részvényesek in Hungarian – depending on whether the Company operates as a kft., which is a limited liability company, or as a zrt., a private company limited by shares]) whose shares (üzletrész in Hungarian [OR részvények in Hungarian – depending on whether the Company operates as a kft or as a zrt.]) represent all (100%) of the registered share capital of the Company hereby approve the Convertible Instruments and agree to take actions regarding the conversion of Convertible Instruments on the terms and conditions set forth below.</w:t>
            </w:r>
          </w:p>
          <w:p w:rsidR="00000000" w:rsidDel="00000000" w:rsidP="00000000" w:rsidRDefault="00000000" w:rsidRPr="00000000" w14:paraId="00000010">
            <w:pPr>
              <w:ind w:left="685" w:hanging="685"/>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A FELEK MEGÁLLAPODNAK A KÖVETKEZŐKBEN:</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THE PARTIES AGREE AS FOLLOWS:</w:t>
            </w:r>
          </w:p>
          <w:p w:rsidR="00000000" w:rsidDel="00000000" w:rsidP="00000000" w:rsidRDefault="00000000" w:rsidRPr="00000000" w14:paraId="00000013">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smallCaps w:val="1"/>
                <w:color w:val="000000"/>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1. HOZZÁJÁRULÓ ÉS JOGRÓL LEMONDÓ NYILATKOZATOK </w:t>
            </w:r>
          </w:p>
        </w:tc>
        <w:tc>
          <w:tcPr/>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ind w:left="603" w:hanging="603"/>
              <w:jc w:val="both"/>
              <w:rPr>
                <w:rFonts w:ascii="Times New Roman" w:cs="Times New Roman" w:eastAsia="Times New Roman" w:hAnsi="Times New Roman"/>
                <w:b w:val="1"/>
                <w:bCs w:val="1"/>
                <w:smallCaps w:val="1"/>
                <w:color w:val="000000"/>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1.    APPROVALS AND WAIVERs OF RIGHTS</w:t>
            </w:r>
          </w:p>
          <w:p w:rsidR="00000000" w:rsidDel="00000000" w:rsidP="00000000" w:rsidRDefault="00000000" w:rsidRPr="00000000" w14:paraId="00000016">
            <w:pPr>
              <w:jc w:val="both"/>
              <w:rPr>
                <w:rFonts w:ascii="Times New Roman" w:cs="Times New Roman" w:eastAsia="Times New Roman" w:hAnsi="Times New Roman"/>
                <w:b w:val="1"/>
                <w:bCs w:val="1"/>
                <w:smallCaps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7">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1.1 Konvertálható Instrumentum Megállapodások feltételei</w:t>
            </w:r>
          </w:p>
        </w:tc>
        <w:tc>
          <w:tcPr/>
          <w:p w:rsidR="00000000" w:rsidDel="00000000" w:rsidP="00000000" w:rsidRDefault="00000000" w:rsidRPr="00000000" w14:paraId="00000018">
            <w:pPr>
              <w:keepNext w:val="1"/>
              <w:pBdr>
                <w:top w:space="0" w:sz="0" w:val="nil"/>
                <w:left w:space="0" w:sz="0" w:val="nil"/>
                <w:bottom w:space="0" w:sz="0" w:val="nil"/>
                <w:right w:space="0" w:sz="0" w:val="nil"/>
                <w:between w:space="0" w:sz="0" w:val="nil"/>
              </w:pBdr>
              <w:ind w:left="543" w:hanging="543"/>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1.1 Terms and conditions of Convertible Instrument Agreements</w:t>
            </w:r>
          </w:p>
          <w:p w:rsidR="00000000" w:rsidDel="00000000" w:rsidP="00000000" w:rsidRDefault="00000000" w:rsidRPr="00000000" w14:paraId="00000019">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Tagok ezennel hozzájárulnak, hogy a Társaság [1.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Konvertálható kölcsönszerződéseket [2.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SAFE megállapodásokat (a továbbiakban: „</w:t>
            </w:r>
            <w:r w:rsidDel="00000000" w:rsidR="00000000" w:rsidRPr="00000000">
              <w:rPr>
                <w:rFonts w:ascii="Times New Roman" w:cs="Times New Roman" w:eastAsia="Times New Roman" w:hAnsi="Times New Roman"/>
                <w:b w:val="1"/>
                <w:bCs w:val="1"/>
                <w:color w:val="000000"/>
                <w:sz w:val="22"/>
                <w:szCs w:val="22"/>
                <w:rtl w:val="0"/>
              </w:rPr>
              <w:t xml:space="preserve">Konvertálható Instrumentum Megállapodások</w:t>
            </w:r>
            <w:r w:rsidDel="00000000" w:rsidR="00000000" w:rsidRPr="00000000">
              <w:rPr>
                <w:rFonts w:ascii="Times New Roman" w:cs="Times New Roman" w:eastAsia="Times New Roman" w:hAnsi="Times New Roman"/>
                <w:color w:val="000000"/>
                <w:sz w:val="22"/>
                <w:szCs w:val="22"/>
                <w:rtl w:val="0"/>
              </w:rPr>
              <w:t xml:space="preserve">”) kössön az alábbi feltételek szerint:</w:t>
            </w:r>
          </w:p>
          <w:p w:rsidR="00000000" w:rsidDel="00000000" w:rsidP="00000000" w:rsidRDefault="00000000" w:rsidRPr="00000000" w14:paraId="0000001B">
            <w:pPr>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ind w:left="401"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Shareholders hereby approve the entry into [OPTION 1:] [convertible loan agreements] [OPTION 2:] [SAFEs] by the Company (the “</w:t>
            </w:r>
            <w:r w:rsidDel="00000000" w:rsidR="00000000" w:rsidRPr="00000000">
              <w:rPr>
                <w:rFonts w:ascii="Times New Roman" w:cs="Times New Roman" w:eastAsia="Times New Roman" w:hAnsi="Times New Roman"/>
                <w:b w:val="1"/>
                <w:bCs w:val="1"/>
                <w:color w:val="000000"/>
                <w:sz w:val="22"/>
                <w:szCs w:val="22"/>
                <w:rtl w:val="0"/>
              </w:rPr>
              <w:t xml:space="preserve">Convertible Instrument</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bCs w:val="1"/>
                <w:color w:val="000000"/>
                <w:sz w:val="22"/>
                <w:szCs w:val="22"/>
                <w:rtl w:val="0"/>
              </w:rPr>
              <w:t xml:space="preserve">Agreements</w:t>
            </w:r>
            <w:r w:rsidDel="00000000" w:rsidR="00000000" w:rsidRPr="00000000">
              <w:rPr>
                <w:rFonts w:ascii="Times New Roman" w:cs="Times New Roman" w:eastAsia="Times New Roman" w:hAnsi="Times New Roman"/>
                <w:color w:val="000000"/>
                <w:sz w:val="22"/>
                <w:szCs w:val="22"/>
                <w:rtl w:val="0"/>
              </w:rPr>
              <w:t xml:space="preserve">”) on the following terms and conditions:</w:t>
            </w:r>
          </w:p>
          <w:p w:rsidR="00000000" w:rsidDel="00000000" w:rsidP="00000000" w:rsidRDefault="00000000" w:rsidRPr="00000000" w14:paraId="0000001D">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E">
            <w:pP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1.1.1 A Társaság köteles minden Befektetőről, aki Konvertálható Instrumentum Megállapodást kíván kötni a Társasággal értesíteni a Tagokat és minden egyes Befektető vonatkozásában valamennyi Tag elektronikus úton közölt előzetes jóváhagyása szükséges,</w:t>
            </w:r>
          </w:p>
          <w:p w:rsidR="00000000" w:rsidDel="00000000" w:rsidP="00000000" w:rsidRDefault="00000000" w:rsidRPr="00000000" w14:paraId="0000001F">
            <w:pPr>
              <w:ind w:left="731" w:hanging="731"/>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20">
            <w:pPr>
              <w:ind w:left="685" w:hanging="6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1.1.1</w:t>
              <w:tab/>
              <w:t xml:space="preserve">the Company shall notify the Shareholders of each Investor with whom it wishes to enter into a Convertible Instrument Agreement and each such Investor must be approved by e-mail by all Shareholders</w:t>
            </w:r>
            <w:r w:rsidDel="00000000" w:rsidR="00000000" w:rsidRPr="00000000">
              <w:rPr>
                <w:rFonts w:ascii="Times New Roman" w:cs="Times New Roman" w:eastAsia="Times New Roman" w:hAnsi="Times New Roman"/>
                <w:sz w:val="22"/>
                <w:szCs w:val="22"/>
                <w:vertAlign w:val="superscript"/>
              </w:rPr>
              <w:footnoteReference w:customMarkFollows="0" w:id="0"/>
            </w:r>
            <w:r w:rsidDel="00000000" w:rsidR="00000000" w:rsidRPr="00000000">
              <w:rPr>
                <w:rtl w:val="0"/>
              </w:rPr>
            </w:r>
          </w:p>
        </w:tc>
      </w:tr>
      <w:tr>
        <w:trPr>
          <w:cantSplit w:val="0"/>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1.1.2</w:t>
              <w:tab/>
              <w:t xml:space="preserve">Minden Konvertálható Instrumentum Megállapodás az 1. számú mellékletben meghatározott feltételek szerint jön létre. E feltételek a Konvertálható Instrumentum Megállapodások aláírását megelőzően vagy azt követően minden Tag jóváhagyásával módosíthatók.</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23">
            <w:pPr>
              <w:ind w:left="685" w:hanging="6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1.1.2</w:t>
              <w:tab/>
              <w:t xml:space="preserve">each Convertible Instrument Agreement shall be entered into on the terms and conditions set forth in Schedule 1 which terms and conditions may be amended, either before or after the signing of the Convertible Instrument Agreements, with the approval of all Shareholders;</w:t>
            </w:r>
          </w:p>
        </w:tc>
      </w:tr>
      <w:tr>
        <w:trPr>
          <w:cantSplit w:val="0"/>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1.1.3 A valamennyi Konvertálható Instrumentum Megállapodás alapján bevont finanszírozási eszköz együttes értéke nem haladhatja meg az EUR [</w:t>
            </w:r>
            <w:r w:rsidDel="00000000" w:rsidR="00000000" w:rsidRPr="00000000">
              <w:rPr>
                <w:rFonts w:ascii="Times New Roman" w:cs="Times New Roman" w:eastAsia="Times New Roman" w:hAnsi="Times New Roman"/>
                <w:i w:val="1"/>
                <w:iCs w:val="1"/>
                <w:color w:val="000000"/>
                <w:sz w:val="22"/>
                <w:szCs w:val="22"/>
                <w:rtl w:val="0"/>
              </w:rPr>
              <w:t xml:space="preserve">összeg</w:t>
            </w:r>
            <w:r w:rsidDel="00000000" w:rsidR="00000000" w:rsidRPr="00000000">
              <w:rPr>
                <w:rFonts w:ascii="Times New Roman" w:cs="Times New Roman" w:eastAsia="Times New Roman" w:hAnsi="Times New Roman"/>
                <w:color w:val="000000"/>
                <w:sz w:val="22"/>
                <w:szCs w:val="22"/>
                <w:rtl w:val="0"/>
              </w:rPr>
              <w:t xml:space="preserve">] összeget, az értékhatár kizárólag valamennyi Tag egybehangzó jóváhagyása esetén </w:t>
            </w:r>
            <w:r w:rsidDel="00000000" w:rsidR="00000000" w:rsidRPr="00000000">
              <w:rPr>
                <w:rFonts w:ascii="Times New Roman" w:cs="Times New Roman" w:eastAsia="Times New Roman" w:hAnsi="Times New Roman"/>
                <w:color w:val="000000"/>
                <w:sz w:val="22"/>
                <w:szCs w:val="22"/>
                <w:rtl w:val="0"/>
              </w:rPr>
              <w:t xml:space="preserve">módosítható magasabb összegre.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26">
            <w:pPr>
              <w:ind w:left="685" w:hanging="709"/>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w:t>
              <w:tab/>
              <w:t xml:space="preserve">the aggregate amount of financing raised under all Convertible Instrument Agreements shall not exceed EUR [insert] which amount may be increased with the approval of all Shareholders.</w:t>
            </w:r>
          </w:p>
        </w:tc>
      </w:tr>
      <w:tr>
        <w:trPr>
          <w:cantSplit w:val="0"/>
          <w:tblHeader w:val="0"/>
        </w:trPr>
        <w:tc>
          <w:tcPr/>
          <w:p w:rsidR="00000000" w:rsidDel="00000000" w:rsidP="00000000" w:rsidRDefault="00000000" w:rsidRPr="00000000" w14:paraId="00000027">
            <w:pPr>
              <w:keepNext w:val="1"/>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1.2</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Hozzájárulás jellege</w:t>
            </w:r>
          </w:p>
        </w:tc>
        <w:tc>
          <w:tcPr/>
          <w:p w:rsidR="00000000" w:rsidDel="00000000" w:rsidP="00000000" w:rsidRDefault="00000000" w:rsidRPr="00000000" w14:paraId="00000028">
            <w:pPr>
              <w:keepNext w:val="1"/>
              <w:pBdr>
                <w:top w:space="0" w:sz="0" w:val="nil"/>
                <w:left w:space="0" w:sz="0" w:val="nil"/>
                <w:bottom w:space="0" w:sz="0" w:val="nil"/>
                <w:right w:space="0" w:sz="0" w:val="nil"/>
                <w:between w:space="0" w:sz="0" w:val="nil"/>
              </w:pBdr>
              <w:ind w:left="-24" w:firstLine="24"/>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1.2</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Nature of approval </w:t>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Tagok 1.1 pontban foglalt hozzájáruló nyilatkozata a Konvertálható Instrumentum Megállapodások tekintetében teljes körű hozzájárulásnak minősül, többek között a Társaság létesítő okirata (alapszabálya), a szindikátusi szerződés, valamint bármely más olyan dokumentum szempontjából, amely bármely Tagra nézve irányadó lehet.</w:t>
            </w:r>
          </w:p>
        </w:tc>
        <w:tc>
          <w:tcPr/>
          <w:p w:rsidR="00000000" w:rsidDel="00000000" w:rsidP="00000000" w:rsidRDefault="00000000" w:rsidRPr="00000000" w14:paraId="0000002A">
            <w:pPr>
              <w:ind w:left="6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The Shareholders’ approval of the Convertible Instrument Agreements under Section 1.1 constitutes an approval of such Convertible Instrument Agreements for all purposes, including for the purposes, and under the terms of, the founders’ agreement or shareholders’ agreement (as applicable) of the Company and/or the articles of association of the Company and under any other documents which may be applicable to any of the Shareholders.</w:t>
            </w:r>
            <w:r w:rsidDel="00000000" w:rsidR="00000000" w:rsidRPr="00000000">
              <w:rPr>
                <w:rtl w:val="0"/>
              </w:rPr>
            </w:r>
          </w:p>
        </w:tc>
      </w:tr>
      <w:tr>
        <w:trPr>
          <w:cantSplit w:val="0"/>
          <w:tblHeader w:val="0"/>
        </w:trPr>
        <w:tc>
          <w:tcPr/>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Jogról lemondó nyilatkozat</w:t>
            </w:r>
            <w:r w:rsidDel="00000000" w:rsidR="00000000" w:rsidRPr="00000000">
              <w:rPr>
                <w:rtl w:val="0"/>
              </w:rPr>
            </w:r>
          </w:p>
        </w:tc>
        <w:tc>
          <w:tcPr/>
          <w:p w:rsidR="00000000" w:rsidDel="00000000" w:rsidP="00000000" w:rsidRDefault="00000000" w:rsidRPr="00000000" w14:paraId="0000002C">
            <w:pPr>
              <w:keepNext w:val="1"/>
              <w:pBdr>
                <w:top w:space="0" w:sz="0" w:val="nil"/>
                <w:left w:space="0" w:sz="0" w:val="nil"/>
                <w:bottom w:space="0" w:sz="0" w:val="nil"/>
                <w:right w:space="0" w:sz="0" w:val="nil"/>
                <w:between w:space="0" w:sz="0" w:val="nil"/>
              </w:pBdr>
              <w:ind w:left="709" w:hanging="73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Waiver of rights</w:t>
            </w:r>
            <w:r w:rsidDel="00000000" w:rsidR="00000000" w:rsidRPr="00000000">
              <w:rPr>
                <w:rtl w:val="0"/>
              </w:rPr>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jelen Megállapodás aláírásával minden Tag feltétel nélkül és visszavonhatatlanul lemond elővásárlási jogáról, valamint minden egyéb olyan jogáról, amely őt a Társaság létesítő okirata, a szindikátusi szerződés és/vagy bármely vonatkozó jogszabály alapján megilletné a Konvertálható Instrumentumok alapján nyújtott finanszírozás, valamint a Konvertálható Instrumentumok átváltása révén a Befektetők részére kibocsátandó vagy létrehozandó részesedés (a továbbiakban: „</w:t>
            </w:r>
            <w:r w:rsidDel="00000000" w:rsidR="00000000" w:rsidRPr="00000000">
              <w:rPr>
                <w:rFonts w:ascii="Times New Roman" w:cs="Times New Roman" w:eastAsia="Times New Roman" w:hAnsi="Times New Roman"/>
                <w:b w:val="1"/>
                <w:bCs w:val="1"/>
                <w:color w:val="000000"/>
                <w:sz w:val="22"/>
                <w:szCs w:val="22"/>
                <w:rtl w:val="0"/>
              </w:rPr>
              <w:t xml:space="preserve">Konverziós Részesedés</w:t>
            </w:r>
            <w:r w:rsidDel="00000000" w:rsidR="00000000" w:rsidRPr="00000000">
              <w:rPr>
                <w:rFonts w:ascii="Times New Roman" w:cs="Times New Roman" w:eastAsia="Times New Roman" w:hAnsi="Times New Roman"/>
                <w:color w:val="000000"/>
                <w:sz w:val="22"/>
                <w:szCs w:val="22"/>
                <w:rtl w:val="0"/>
              </w:rPr>
              <w:t xml:space="preserve">”) vonatkozásában. </w:t>
            </w:r>
          </w:p>
          <w:p w:rsidR="00000000" w:rsidDel="00000000" w:rsidP="00000000" w:rsidRDefault="00000000" w:rsidRPr="00000000" w14:paraId="0000002E">
            <w:pPr>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2F">
            <w:pPr>
              <w:ind w:left="685"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By signing this Agreement each Shareholder waives unconditionally and irrevocably any and all pre-emptive rights and other rights which it may have under the founders’ agreement or shareholders’ agreement (as applicable) and the articles of association of the Company and/or any applicable laws with respect to the financing provided by the Convertible Instruments and with respect to shares of the Company to be issued or created</w:t>
            </w:r>
            <w:r w:rsidDel="00000000" w:rsidR="00000000" w:rsidRPr="00000000">
              <w:rPr>
                <w:rFonts w:ascii="Times New Roman" w:cs="Times New Roman" w:eastAsia="Times New Roman" w:hAnsi="Times New Roman"/>
                <w:color w:val="000000"/>
                <w:sz w:val="22"/>
                <w:szCs w:val="22"/>
                <w:vertAlign w:val="superscript"/>
              </w:rPr>
              <w:footnoteReference w:customMarkFollows="0" w:id="1"/>
            </w:r>
            <w:r w:rsidDel="00000000" w:rsidR="00000000" w:rsidRPr="00000000">
              <w:rPr>
                <w:rFonts w:ascii="Times New Roman" w:cs="Times New Roman" w:eastAsia="Times New Roman" w:hAnsi="Times New Roman"/>
                <w:color w:val="000000"/>
                <w:sz w:val="22"/>
                <w:szCs w:val="22"/>
                <w:rtl w:val="0"/>
              </w:rPr>
              <w:t xml:space="preserve"> to the Investors upon the conversion of the Convertible Instruments under the Convertible Instrument Agreements (the “</w:t>
            </w:r>
            <w:r w:rsidDel="00000000" w:rsidR="00000000" w:rsidRPr="00000000">
              <w:rPr>
                <w:rFonts w:ascii="Times New Roman" w:cs="Times New Roman" w:eastAsia="Times New Roman" w:hAnsi="Times New Roman"/>
                <w:b w:val="1"/>
                <w:bCs w:val="1"/>
                <w:color w:val="000000"/>
                <w:sz w:val="22"/>
                <w:szCs w:val="22"/>
                <w:rtl w:val="0"/>
              </w:rPr>
              <w:t xml:space="preserve">Conversion Shares</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30">
            <w:pPr>
              <w:ind w:left="685" w:firstLine="0"/>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1">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1.4</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 Befektetők javára kötött </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megállapodás</w:t>
            </w:r>
            <w:r w:rsidDel="00000000" w:rsidR="00000000" w:rsidRPr="00000000">
              <w:rPr>
                <w:rtl w:val="0"/>
              </w:rPr>
            </w:r>
          </w:p>
        </w:tc>
        <w:tc>
          <w:tcPr/>
          <w:p w:rsidR="00000000" w:rsidDel="00000000" w:rsidP="00000000" w:rsidRDefault="00000000" w:rsidRPr="00000000" w14:paraId="00000032">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1.4</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Agreement for the benefit of Investors</w:t>
            </w: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Jelen Megállapodás a 2013. évi V. törvény (Polgári Törvénykönyv, a továbbiakban: „</w:t>
            </w:r>
            <w:r w:rsidDel="00000000" w:rsidR="00000000" w:rsidRPr="00000000">
              <w:rPr>
                <w:rFonts w:ascii="Times New Roman" w:cs="Times New Roman" w:eastAsia="Times New Roman" w:hAnsi="Times New Roman"/>
                <w:b w:val="1"/>
                <w:bCs w:val="1"/>
                <w:color w:val="000000"/>
                <w:sz w:val="22"/>
                <w:szCs w:val="22"/>
                <w:rtl w:val="0"/>
              </w:rPr>
              <w:t xml:space="preserve">Ptk</w:t>
            </w:r>
            <w:r w:rsidDel="00000000" w:rsidR="00000000" w:rsidRPr="00000000">
              <w:rPr>
                <w:rFonts w:ascii="Times New Roman" w:cs="Times New Roman" w:eastAsia="Times New Roman" w:hAnsi="Times New Roman"/>
                <w:color w:val="000000"/>
                <w:sz w:val="22"/>
                <w:szCs w:val="22"/>
                <w:rtl w:val="0"/>
              </w:rPr>
              <w:t xml:space="preserve">.”) 6:136. § (1) bekezdése szerinti Harmadik személy javára szóló szerződésnek minősül. Ennek megfelelően minden olyan Befektető, akivel a Társaság Konvertálható Instrumentum Megállapodást kötött, e Megállapodás szempontjából jogosult harmadik személyének minősül, és a Ptk. 6:136. § (2) bekezdése alapján jogosult a jelen Megállapodásban foglaltak teljesítésének követelésére. </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Felek ezennel megállapodnak, hogy a 3.1 pont eltérő rendelkezéseinek hiányában a jelen Megállapodás érvényesen nem módosítható és nem szüntethető meg a Társaság által megkötött Konvertálható Instrumentum Megállapodásban részes Befektető hozzájárulása nélkül.</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37">
            <w:pPr>
              <w:ind w:left="6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constitutes an agreement for the benefit of third parties within the meaning of      section 6:136 of Act V of 2023 on the Civil Code of Hungary (the </w:t>
            </w:r>
            <w:r w:rsidDel="00000000" w:rsidR="00000000" w:rsidRPr="00000000">
              <w:rPr>
                <w:rFonts w:ascii="Times New Roman" w:cs="Times New Roman" w:eastAsia="Times New Roman" w:hAnsi="Times New Roman"/>
                <w:b w:val="1"/>
                <w:bCs w:val="1"/>
                <w:sz w:val="22"/>
                <w:szCs w:val="22"/>
                <w:rtl w:val="0"/>
              </w:rPr>
              <w:t xml:space="preserve">Civil Code</w:t>
            </w:r>
            <w:r w:rsidDel="00000000" w:rsidR="00000000" w:rsidRPr="00000000">
              <w:rPr>
                <w:rFonts w:ascii="Times New Roman" w:cs="Times New Roman" w:eastAsia="Times New Roman" w:hAnsi="Times New Roman"/>
                <w:sz w:val="22"/>
                <w:szCs w:val="22"/>
                <w:rtl w:val="0"/>
              </w:rPr>
              <w:t xml:space="preserve">) so that each Investor with whom the Company has entered into a Convertible Instrument Agreement is deemed a third party beneficiary of this Agreement and has the right to demand the performance of this Agreement as set forth in section 6:136(2) of the Civil Code . The Parties hereby agree that      this Agreement may not be effectively terminated or amended without the consent of each Investor with whom the Company has entered into a Convertible Instrument Agreement, except as otherwise provided in Section 3.1.</w:t>
            </w:r>
          </w:p>
        </w:tc>
      </w:tr>
      <w:tr>
        <w:trPr>
          <w:cantSplit w:val="0"/>
          <w:tblHeader w:val="0"/>
        </w:trPr>
        <w:tc>
          <w:tcPr/>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2. A KÖLCSÖN MEGÁLLAPODÁSOKKAL KAPCSOLATOS INTÉZKEDÉSEK </w:t>
            </w:r>
            <w:r w:rsidDel="00000000" w:rsidR="00000000" w:rsidRPr="00000000">
              <w:rPr>
                <w:rtl w:val="0"/>
              </w:rPr>
            </w:r>
          </w:p>
        </w:tc>
        <w:tc>
          <w:tcPr/>
          <w:p w:rsidR="00000000" w:rsidDel="00000000" w:rsidP="00000000" w:rsidRDefault="00000000" w:rsidRPr="00000000" w14:paraId="00000039">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2. ACTIONS RELATING TO LOAN AGREEMENTS</w:t>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B">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2.1</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Intézkedések</w:t>
            </w:r>
            <w:r w:rsidDel="00000000" w:rsidR="00000000" w:rsidRPr="00000000">
              <w:rPr>
                <w:rtl w:val="0"/>
              </w:rPr>
            </w:r>
          </w:p>
        </w:tc>
        <w:tc>
          <w:tcPr/>
          <w:p w:rsidR="00000000" w:rsidDel="00000000" w:rsidP="00000000" w:rsidRDefault="00000000" w:rsidRPr="00000000" w14:paraId="0000003C">
            <w:pPr>
              <w:keepNext w:val="1"/>
              <w:pBdr>
                <w:top w:space="0" w:sz="0" w:val="nil"/>
                <w:left w:space="0" w:sz="0" w:val="nil"/>
                <w:bottom w:space="0" w:sz="0" w:val="nil"/>
                <w:right w:space="0" w:sz="0" w:val="nil"/>
                <w:between w:space="0" w:sz="0" w:val="nil"/>
              </w:pBdr>
              <w:ind w:left="685" w:hanging="6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2.1</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Actions</w:t>
            </w:r>
            <w:r w:rsidDel="00000000" w:rsidR="00000000" w:rsidRPr="00000000">
              <w:rPr>
                <w:rtl w:val="0"/>
              </w:rPr>
            </w:r>
          </w:p>
        </w:tc>
      </w:tr>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Társaság kérésére minden Tag köteles megtenni minden szükséges intézkedést – ideértve a döntéshozó szerv hatáskörébe tartozó határozatok elfogadását, az elsőbbségi jogokról való lemondást, valamint a Társaság létesítő okiratának módosítását – annak érdekében, hogy a Konvertálható Instrumentum Megállapodásban meghatározott határidőn belül, az ott meghatározott feltételek szerint a Befektetők részére kibocsátandó vagy létrehozandó Konverziós Részesedések kibocsátása vagy létrehozása megvalósuljon, illetve a vonatkozó nyilvántartásokba bejegyzésre kerüljön.</w:t>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requested by the Company, each Shareholder shall take all actions, including adopt shareholders’ resolutions, waive shareholders’ pre-emptive rights and amend the Company’s articles of association so as to procure that the issue or creation of Conversion Shares to each Investor is completed and registered in relevant registers within the term and otherwise in accordance with the Convertible Instrument Agreements. </w:t>
            </w:r>
          </w:p>
          <w:p w:rsidR="00000000" w:rsidDel="00000000" w:rsidP="00000000" w:rsidRDefault="00000000" w:rsidRPr="00000000" w14:paraId="0000003F">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0">
            <w:pPr>
              <w:keepNext w:val="1"/>
              <w:pBdr>
                <w:top w:space="0" w:sz="0" w:val="nil"/>
                <w:left w:space="0" w:sz="0" w:val="nil"/>
                <w:bottom w:space="0" w:sz="0" w:val="nil"/>
                <w:right w:space="0" w:sz="0" w:val="nil"/>
                <w:between w:space="0" w:sz="0" w:val="nil"/>
              </w:pBdr>
              <w:ind w:left="731" w:hanging="731"/>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2.2</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Az Konver</w:t>
            </w:r>
            <w:r w:rsidDel="00000000" w:rsidR="00000000" w:rsidRPr="00000000">
              <w:rPr>
                <w:rFonts w:ascii="Times New Roman" w:cs="Times New Roman" w:eastAsia="Times New Roman" w:hAnsi="Times New Roman"/>
                <w:b w:val="1"/>
                <w:bCs w:val="1"/>
                <w:sz w:val="22"/>
                <w:szCs w:val="22"/>
                <w:rtl w:val="0"/>
              </w:rPr>
              <w:t xml:space="preserve">ziós</w:t>
            </w:r>
            <w:r w:rsidDel="00000000" w:rsidR="00000000" w:rsidRPr="00000000">
              <w:rPr>
                <w:rFonts w:ascii="Times New Roman" w:cs="Times New Roman" w:eastAsia="Times New Roman" w:hAnsi="Times New Roman"/>
                <w:b w:val="1"/>
                <w:bCs w:val="1"/>
                <w:color w:val="000000"/>
                <w:sz w:val="22"/>
                <w:szCs w:val="22"/>
                <w:rtl w:val="0"/>
              </w:rPr>
              <w:t xml:space="preserve"> Részesedés határidőn belüli kibocsátásának elmaradása</w:t>
            </w:r>
          </w:p>
        </w:tc>
        <w:tc>
          <w:tcPr/>
          <w:p w:rsidR="00000000" w:rsidDel="00000000" w:rsidP="00000000" w:rsidRDefault="00000000" w:rsidRPr="00000000" w14:paraId="00000041">
            <w:pPr>
              <w:keepNext w:val="1"/>
              <w:ind w:left="685" w:hanging="68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2.2</w:t>
              <w:tab/>
              <w:t xml:space="preserve">Failure to timely complete the issue or creation of Conversion Shares</w:t>
            </w:r>
            <w:r w:rsidDel="00000000" w:rsidR="00000000" w:rsidRPr="00000000">
              <w:rPr>
                <w:rtl w:val="0"/>
              </w:rPr>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Amennyiben bármely Tag a 2.1 pontban előírt kötelezettségeinek elmulasztása következtében az Konver</w:t>
            </w:r>
            <w:r w:rsidDel="00000000" w:rsidR="00000000" w:rsidRPr="00000000">
              <w:rPr>
                <w:rFonts w:ascii="Times New Roman" w:cs="Times New Roman" w:eastAsia="Times New Roman" w:hAnsi="Times New Roman"/>
                <w:sz w:val="22"/>
                <w:szCs w:val="22"/>
                <w:rtl w:val="0"/>
              </w:rPr>
              <w:t xml:space="preserve">ziós</w:t>
            </w:r>
            <w:r w:rsidDel="00000000" w:rsidR="00000000" w:rsidRPr="00000000">
              <w:rPr>
                <w:rFonts w:ascii="Times New Roman" w:cs="Times New Roman" w:eastAsia="Times New Roman" w:hAnsi="Times New Roman"/>
                <w:color w:val="000000"/>
                <w:sz w:val="22"/>
                <w:szCs w:val="22"/>
                <w:rtl w:val="0"/>
              </w:rPr>
              <w:t xml:space="preserve"> Részesedések bármely Befektető részére történő kibocsátása vagy létrehozása nem valósul meg a Konvertálható Instrumentum Megállapodásban meghatározott határidőn belül, a Társaság jogosult a mulasztással érintett Tagot kötbér fizetésére kötelezni. A kötbér összege az érintett Befektető által nyújtott finanszírozás összegének [0,1%]-a naponta, a kötbér mind késedelmes nap után esedékes. </w:t>
            </w:r>
          </w:p>
          <w:p w:rsidR="00000000" w:rsidDel="00000000" w:rsidP="00000000" w:rsidRDefault="00000000" w:rsidRPr="00000000" w14:paraId="00000043">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the issue or creation of Conversion Shares to any Investor is not completed within the term and otherwise in accordance with the Convertible Instrument Agreements because any Shareholder has failed to take respective actions set forth in Section 2.1, the Company shall have the right to request such Shareholder to pay a contractual penalty to the Company in the amount of [0.1%] of the respective amount of financing granted by such Investor per each day of delay. </w:t>
            </w:r>
          </w:p>
        </w:tc>
      </w:tr>
      <w:tr>
        <w:trPr>
          <w:cantSplit w:val="0"/>
          <w:tblHeader w:val="0"/>
        </w:trPr>
        <w:tc>
          <w:tcPr/>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Új tagokkal kapcsolatos kötelezettségek</w:t>
            </w:r>
          </w:p>
        </w:tc>
        <w:tc>
          <w:tcPr/>
          <w:p w:rsidR="00000000" w:rsidDel="00000000" w:rsidP="00000000" w:rsidRDefault="00000000" w:rsidRPr="00000000" w14:paraId="00000046">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2.3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Obligations with respect to new shareholders</w:t>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Tagok nem jogosultak a Társaságban fennálló részesedésüket elidegeníteni, átruházni vagy megterhelni, továbbá a Társaság nem jogosult új részesedést kibocsátani vagy létrehozni bármely harmadik személy javára, kivéve, ha az érintett személy alávetési nyilatkozatban (deed of adherence) kötelezettséget vállal arra, hogy jelen Megállapodás rendelkezéseit a rá irányadó minőségében fenntartás nélkül elfogadja és magára nézve kötelezőnek ismeri el. Az alávetési nyilatkozatot a Társaság, valamint az belépő Tag írja alá, a nyilatkozat érvényességéhez harmadik Fél jóváhagyása nem szükséges.</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None of the Shareholders shall sell or otherwise transfer or encumber any of its shares of the Company, nor shall the Company issue or create any share, to or for the benefit of any person unless and until such person executes a deed of adherence by which the relevant person undertakes to be fully bound by this Agreement in the relevant capacity. Such deed of adherence shall be signed by the Company and the new proposed shareholder and does not require the approval of any other Party.</w:t>
            </w:r>
          </w:p>
          <w:p w:rsidR="00000000" w:rsidDel="00000000" w:rsidP="00000000" w:rsidRDefault="00000000" w:rsidRPr="00000000" w14:paraId="0000004A">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B">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3.  ZÁRÓ RENDELKEZÉSEK</w:t>
            </w:r>
            <w:r w:rsidDel="00000000" w:rsidR="00000000" w:rsidRPr="00000000">
              <w:rPr>
                <w:rtl w:val="0"/>
              </w:rPr>
            </w:r>
          </w:p>
        </w:tc>
        <w:tc>
          <w:tcPr/>
          <w:p w:rsidR="00000000" w:rsidDel="00000000" w:rsidP="00000000" w:rsidRDefault="00000000" w:rsidRPr="00000000" w14:paraId="0000004C">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mallCaps w:val="1"/>
                <w:color w:val="000000"/>
                <w:sz w:val="22"/>
                <w:szCs w:val="22"/>
                <w:rtl w:val="0"/>
              </w:rPr>
              <w:t xml:space="preserve">3. FINAL PROVISIONS</w:t>
            </w: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E">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3.1</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 Megállapodás módosítása</w:t>
            </w:r>
          </w:p>
        </w:tc>
        <w:tc>
          <w:tcPr/>
          <w:p w:rsidR="00000000" w:rsidDel="00000000" w:rsidP="00000000" w:rsidRDefault="00000000" w:rsidRPr="00000000" w14:paraId="0000004F">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3.1</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Amendments</w:t>
            </w:r>
          </w:p>
        </w:tc>
      </w:tr>
      <w:tr>
        <w:trPr>
          <w:cantSplit w:val="0"/>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Jelen Megállapodás kizárólag az eredeti Megállapodással megegyező alakban módosítható érvényesen. A Megállapodás módosítása akkor érvényes, ha azt a Társaság, a Tagok és a Befektetők jóváhagyják, kivéve, ha a jelen Megállapodás kifejezetten lehetővé teszi, hogy a Megállapodást meghatározott tárgykörben a Tagok egybehangzó nyilatkozatukkal egyoldalúan módosítsák, az ilyen kikötésnek megfelelő módosítás érvényes és minden Félre kötelező hatályú, ha azt a Társaság és valamennyi Tag jóváhagyta. </w:t>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2">
            <w:pPr>
              <w:ind w:left="6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No amendment to this Agreement is valid unless made in the same form as the original Agreement. No amendment to this Agreement is valid unless approved by the Company and the Shareholders and the Investors, except that any amendment that, pursuant to the terms of this Agreement, may be made with the approval of      all Shareholders, is valid and binding on all Parties if approved by the Company and      all Shareholders.</w:t>
            </w:r>
            <w:r w:rsidDel="00000000" w:rsidR="00000000" w:rsidRPr="00000000">
              <w:rPr>
                <w:rtl w:val="0"/>
              </w:rPr>
            </w:r>
          </w:p>
        </w:tc>
      </w:tr>
      <w:tr>
        <w:trPr>
          <w:cantSplit w:val="0"/>
          <w:tblHeader w:val="0"/>
        </w:trPr>
        <w:tc>
          <w:tcPr/>
          <w:p w:rsidR="00000000" w:rsidDel="00000000" w:rsidP="00000000" w:rsidRDefault="00000000" w:rsidRPr="00000000" w14:paraId="00000053">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3.2</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Tájékoztatás</w:t>
            </w:r>
          </w:p>
        </w:tc>
        <w:tc>
          <w:tcPr/>
          <w:p w:rsidR="00000000" w:rsidDel="00000000" w:rsidP="00000000" w:rsidRDefault="00000000" w:rsidRPr="00000000" w14:paraId="00000054">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3.2</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Notices</w:t>
            </w:r>
          </w:p>
        </w:tc>
      </w:tr>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jelen Megállapodás alapján küldött értesítéseket vagy egyéb közléseket írásban reprodukálható formában (pl. e-mail útján) kell megküldeni az aláírási oldalon feltüntetett kapcsolattartási címre. Az ilyen közlés az elküldéssel tekintendő kézbesítettnek, kivéve, ha ez az időpont a címzett székhelyének ideje szerint kívül esik a rendes munkanapok munkavégzési idején (munkanap: hétfőtől péntekig 9:00–18:00, a címzett székhelye szerinti hivatalos munkaszüneti napok kivételével); ez esetben az értesítés a következő munkanapon tekintendő kézbesítettnek. </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7">
            <w:pPr>
              <w:ind w:left="6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Any notice or other communication under this Agreement must be in a form reproducible in writing and sent to the e-mail address specified on the signature page. Such notice or communication shall be deemed received at the time of transmission, or, if this time falls outside business hours in the place of receipt, when business hours resume (business hours means 9.00am to 6.00pm Monday to Friday on a day that is not a public holiday in the place of receipt).</w:t>
            </w:r>
            <w:r w:rsidDel="00000000" w:rsidR="00000000" w:rsidRPr="00000000">
              <w:rPr>
                <w:rtl w:val="0"/>
              </w:rPr>
            </w:r>
          </w:p>
        </w:tc>
      </w:tr>
      <w:tr>
        <w:trPr>
          <w:cantSplit w:val="0"/>
          <w:tblHeader w:val="0"/>
        </w:trPr>
        <w:tc>
          <w:tcPr/>
          <w:p w:rsidR="00000000" w:rsidDel="00000000" w:rsidP="00000000" w:rsidRDefault="00000000" w:rsidRPr="00000000" w14:paraId="00000058">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Kötbér</w:t>
            </w:r>
          </w:p>
        </w:tc>
        <w:tc>
          <w:tcPr/>
          <w:p w:rsidR="00000000" w:rsidDel="00000000" w:rsidP="00000000" w:rsidRDefault="00000000" w:rsidRPr="00000000" w14:paraId="00000059">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3.3</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Contractual penalties</w:t>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bookmarkStart w:colFirst="0" w:colLast="0" w:name="_heading=h.kjjq67ruudbs" w:id="2"/>
            <w:bookmarkEnd w:id="2"/>
            <w:r w:rsidDel="00000000" w:rsidR="00000000" w:rsidRPr="00000000">
              <w:rPr>
                <w:rFonts w:ascii="Times New Roman" w:cs="Times New Roman" w:eastAsia="Times New Roman" w:hAnsi="Times New Roman"/>
                <w:color w:val="000000"/>
                <w:sz w:val="22"/>
                <w:szCs w:val="22"/>
                <w:rtl w:val="0"/>
              </w:rPr>
              <w:t xml:space="preserve">Minden kötbérfizetési kötelezettség célja, a Megállapodás teljesítésének biztosítása, nem az elmulasztott kötelezettség teljesítésének helyettesítése. A kötbér megfizetése nem mentesíti a szerződésszegő Felet az adott kötelezettség teljesítése alól. A jogosult Fél köteles a szerződésszegés és annak következményeinek orvoslására előzetesen ésszerű határidőt (legfeljebb 30 napot) biztosítani, a jogosult kötbérigényét az által megjelölt határnapot követően érvényesítheti. A jogosult Fél nem érvényesítheti a kötbérigényét, ha a kötelezettségszegésről történő tudomásszerzéstől számított 6 hónapon belül nem értesíti az érintett szerződésszegő Felet a kötbérigényéről. </w:t>
            </w:r>
          </w:p>
        </w:tc>
        <w:tc>
          <w:tcPr/>
          <w:p w:rsidR="00000000" w:rsidDel="00000000" w:rsidP="00000000" w:rsidRDefault="00000000" w:rsidRPr="00000000" w14:paraId="0000005B">
            <w:pPr>
              <w:ind w:left="685"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Each contractual penalty shall be deemed to operate as a measure for achieving the performance of this Agreement and not as a substitute for the performance. The payment of any contractual penalty shall not release the breaching party from the obligation to perform the relevant obligations. Before a Party becomes entitled to claim a contractual penalty under this Agreement, such Party must give the breaching Party a reasonable term (being not more than 30 days) to cure the breach in question and its negative consequences. A Party entitled to claim a contractual penalty under this Agreement loses such right if it fails to notify the Party in breach of its intention to claim the penalty within 6 months after the entitled Party becomes aware of the breach in question.</w:t>
            </w:r>
            <w:r w:rsidDel="00000000" w:rsidR="00000000" w:rsidRPr="00000000">
              <w:rPr>
                <w:rtl w:val="0"/>
              </w:rPr>
            </w:r>
          </w:p>
        </w:tc>
      </w:tr>
      <w:tr>
        <w:trPr>
          <w:cantSplit w:val="0"/>
          <w:tblHeader w:val="0"/>
        </w:trPr>
        <w:tc>
          <w:tcPr/>
          <w:p w:rsidR="00000000" w:rsidDel="00000000" w:rsidP="00000000" w:rsidRDefault="00000000" w:rsidRPr="00000000" w14:paraId="0000005C">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3.4</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Irányadó jog</w:t>
            </w:r>
          </w:p>
        </w:tc>
        <w:tc>
          <w:tcPr/>
          <w:p w:rsidR="00000000" w:rsidDel="00000000" w:rsidP="00000000" w:rsidRDefault="00000000" w:rsidRPr="00000000" w14:paraId="0000005D">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3.4</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Applicable law</w:t>
            </w:r>
          </w:p>
        </w:tc>
      </w:tr>
      <w:tr>
        <w:trPr>
          <w:cantSplit w:val="0"/>
          <w:tblHeader w:val="0"/>
        </w:trPr>
        <w:tc>
          <w:tcPr/>
          <w:p w:rsidR="00000000" w:rsidDel="00000000" w:rsidP="00000000" w:rsidRDefault="00000000" w:rsidRPr="00000000" w14:paraId="0000005E">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bookmarkStart w:colFirst="0" w:colLast="0" w:name="_heading=h.8wlbot32326q" w:id="3"/>
            <w:bookmarkEnd w:id="3"/>
            <w:r w:rsidDel="00000000" w:rsidR="00000000" w:rsidRPr="00000000">
              <w:rPr>
                <w:rFonts w:ascii="Times New Roman" w:cs="Times New Roman" w:eastAsia="Times New Roman" w:hAnsi="Times New Roman"/>
                <w:color w:val="000000"/>
                <w:sz w:val="22"/>
                <w:szCs w:val="22"/>
                <w:rtl w:val="0"/>
              </w:rPr>
              <w:t xml:space="preserve">Jelen Megállapodásra, valamint az abból eredő vagy azzal kapcsolatos valamennyi követésre és jogviszonyra (ideértve a szerződésen kívüli igényeket is) Magyarország joga irányadó, a kollíziós szabályok figyelembevétele nélkül. </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This Agreement and any rights or claims arising out of or in connection with this Agreement (including any non-contractual claims) shall be governed by the substantive law of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Hungary without giving effect to any conflicts of law rules.</w:t>
            </w:r>
          </w:p>
        </w:tc>
      </w:tr>
      <w:tr>
        <w:trPr>
          <w:cantSplit w:val="0"/>
          <w:tblHeader w:val="0"/>
        </w:trPr>
        <w:tc>
          <w:tcPr/>
          <w:p w:rsidR="00000000" w:rsidDel="00000000" w:rsidP="00000000" w:rsidRDefault="00000000" w:rsidRPr="00000000" w14:paraId="00000061">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3.5</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Joghatóság</w:t>
            </w:r>
          </w:p>
        </w:tc>
        <w:tc>
          <w:tcPr/>
          <w:p w:rsidR="00000000" w:rsidDel="00000000" w:rsidP="00000000" w:rsidRDefault="00000000" w:rsidRPr="00000000" w14:paraId="00000062">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3.5</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Jurisdiction</w:t>
            </w:r>
          </w:p>
        </w:tc>
      </w:tr>
      <w:tr>
        <w:trPr>
          <w:cantSplit w:val="0"/>
          <w:tblHeader w:val="0"/>
        </w:trPr>
        <w:tc>
          <w:tcPr/>
          <w:p w:rsidR="00000000" w:rsidDel="00000000" w:rsidP="00000000" w:rsidRDefault="00000000" w:rsidRPr="00000000" w14:paraId="00000063">
            <w:pPr>
              <w:pBdr>
                <w:top w:space="0" w:sz="0" w:val="nil"/>
                <w:left w:space="0" w:sz="0" w:val="nil"/>
                <w:bottom w:space="0" w:sz="0" w:val="nil"/>
                <w:right w:space="0" w:sz="0" w:val="nil"/>
                <w:between w:space="0" w:sz="0" w:val="nil"/>
              </w:pBdr>
              <w:ind w:left="709"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 Választottbíróság Budapesten:] Bármely vita elbírálására, amely a jelen szerződésből vagy azzal összefüggésben, így különösen annak megszegésével, megszűnésével, érvényességével vagy értelmezésével kapcsolatban keletkezik, a felek az állami bírósági utat kizárják és alávetik magukat a Magyar Kereskedelmi és Iparkamara mellett működő Állandó Választottbíróság (Kereskedelmi Választottbíróság Budapest) kizárólagos és végleges döntésének azzal, hogy a Választottbíróság a saját Eljárási Szabályzata szerint jár el (kiegészítve a Gyorsított Eljárás Alszabályzat rendelkezéseivel), az eljáró választottbíró(k) száma…(három/egy) és az eljárás során a  (pl. magyar/német/angol) nyelvet kell alkalmazni. A felek kizárják a választottbíráskodásról szóló 2017. évi LX. törvény IX. Fejezetében szabályozott eljárásújítás lehetőségét. A jogvita eldöntésére alkalmazandó anyagi jog a magyar jog, ide nem értve annak nemzetközi magánjogi szabályait. </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09"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65">
            <w:pPr>
              <w:ind w:left="685"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[Alternative 1: arbitration in Budapest: In the event of any dispute arising from or in connection with the present contract, so especially with its breach, termination, validity or interpretation, the parties exclude the state court procedure and agree to submit the matter to the exclusive and final decision of the Permanent Arbitration Court attached to the Hungarian Chamber of Commerce and Industry (Commercial Arbitration Court Budapest). The Arbitration Court proceeds in accordance with its own Rules of Proceedings (supplemented with the provisions of the Sub-Rules of Expedited Proceedings). The number of arbitrators shall be … (three/one) and the language to be used in the arbitral proceedings shall be English. The parties exclude the possibility of the retrial of the proceedings as regulated in Section IX of Act no. LX of 2017 on Arbitration.</w:t>
            </w:r>
          </w:p>
        </w:tc>
      </w:tr>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ind w:left="709" w:firstLine="0"/>
              <w:jc w:val="both"/>
              <w:rPr>
                <w:rFonts w:ascii="Times New Roman" w:cs="Times New Roman" w:eastAsia="Times New Roman" w:hAnsi="Times New Roman"/>
                <w:color w:val="000000"/>
                <w:sz w:val="22"/>
                <w:szCs w:val="22"/>
              </w:rPr>
            </w:pPr>
            <w:bookmarkStart w:colFirst="0" w:colLast="0" w:name="_heading=h.ufgrdw7gavpo" w:id="4"/>
            <w:bookmarkEnd w:id="4"/>
            <w:r w:rsidDel="00000000" w:rsidR="00000000" w:rsidRPr="00000000">
              <w:rPr>
                <w:rFonts w:ascii="Times New Roman" w:cs="Times New Roman" w:eastAsia="Times New Roman" w:hAnsi="Times New Roman"/>
                <w:color w:val="000000"/>
                <w:sz w:val="22"/>
                <w:szCs w:val="22"/>
                <w:rtl w:val="0"/>
              </w:rPr>
              <w:t xml:space="preserve">[2. </w:t>
            </w:r>
            <w:r w:rsidDel="00000000" w:rsidR="00000000" w:rsidRPr="00000000">
              <w:rPr>
                <w:rFonts w:ascii="Times New Roman" w:cs="Times New Roman" w:eastAsia="Times New Roman" w:hAnsi="Times New Roman"/>
                <w:smallCaps w:val="1"/>
                <w:color w:val="000000"/>
                <w:sz w:val="22"/>
                <w:szCs w:val="22"/>
                <w:rtl w:val="0"/>
              </w:rPr>
              <w:t xml:space="preserve">ALTERNATÍVA</w:t>
            </w:r>
            <w:r w:rsidDel="00000000" w:rsidR="00000000" w:rsidRPr="00000000">
              <w:rPr>
                <w:rFonts w:ascii="Times New Roman" w:cs="Times New Roman" w:eastAsia="Times New Roman" w:hAnsi="Times New Roman"/>
                <w:color w:val="000000"/>
                <w:sz w:val="22"/>
                <w:szCs w:val="22"/>
                <w:rtl w:val="0"/>
              </w:rPr>
              <w:t xml:space="preserve"> – Rendes bíróságok Magyarországon:] Jelen Megállapodásból eredő vagy azzal összefüggésben felmerülő vita, igény vagy értelmezési kérdés tekintetében a Felek a magyar állami bíróságok</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kizárólagos illetékességét kötik ki.</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709" w:firstLine="0"/>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68">
            <w:pPr>
              <w:ind w:left="685"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[Alternative 2 general courts in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Hungary:</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Any dispute, controversy or claim arising out of or in connection with this Agreement shall be subject to jurisdiction of</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the ordinary courts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in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Hungary.]</w:t>
            </w:r>
            <w:r w:rsidDel="00000000" w:rsidR="00000000" w:rsidRPr="00000000">
              <w:rPr>
                <w:rtl w:val="0"/>
              </w:rPr>
            </w:r>
          </w:p>
        </w:tc>
      </w:tr>
      <w:tr>
        <w:trPr>
          <w:cantSplit w:val="0"/>
          <w:tblHeader w:val="0"/>
        </w:trPr>
        <w:tc>
          <w:tcPr/>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3.6</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Megállapodás létrejötte és időpontja </w:t>
            </w:r>
          </w:p>
        </w:tc>
        <w:tc>
          <w:tcPr/>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3.6</w:t>
            </w: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bCs w:val="1"/>
                <w:color w:val="000000"/>
                <w:sz w:val="22"/>
                <w:szCs w:val="22"/>
                <w:rtl w:val="0"/>
              </w:rPr>
              <w:t xml:space="preserve">Conclusion and date</w:t>
            </w:r>
          </w:p>
        </w:tc>
      </w:tr>
      <w:tr>
        <w:trPr>
          <w:cantSplit w:val="0"/>
          <w:tblHeader w:val="0"/>
        </w:trPr>
        <w:tc>
          <w:tcPr/>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ind w:left="709" w:firstLine="0"/>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Jelen Megállapodás a részes Felek általi aláírással jön létre.</w:t>
            </w: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This Agreement is deemed concluded if signed by all Parties.</w:t>
            </w:r>
          </w:p>
        </w:tc>
      </w:tr>
      <w:tr>
        <w:trPr>
          <w:cantSplit w:val="0"/>
          <w:tblHeader w:val="0"/>
        </w:trPr>
        <w:tc>
          <w:tcPr/>
          <w:p w:rsidR="00000000" w:rsidDel="00000000" w:rsidP="00000000" w:rsidRDefault="00000000" w:rsidRPr="00000000" w14:paraId="0000006D">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Mellékletek</w:t>
            </w:r>
          </w:p>
          <w:p w:rsidR="00000000" w:rsidDel="00000000" w:rsidP="00000000" w:rsidRDefault="00000000" w:rsidRPr="00000000" w14:paraId="0000006E">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6F">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SCHEDULES</w:t>
            </w:r>
          </w:p>
          <w:p w:rsidR="00000000" w:rsidDel="00000000" w:rsidP="00000000" w:rsidRDefault="00000000" w:rsidRPr="00000000" w14:paraId="00000070">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1">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Jelen Megállapodás az alábbi Mellékleteket tartoznak:</w:t>
            </w:r>
          </w:p>
        </w:tc>
        <w:tc>
          <w:tcPr/>
          <w:p w:rsidR="00000000" w:rsidDel="00000000" w:rsidP="00000000" w:rsidRDefault="00000000" w:rsidRPr="00000000" w14:paraId="00000072">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This Agreement has the following Schedules:</w:t>
            </w:r>
          </w:p>
          <w:p w:rsidR="00000000" w:rsidDel="00000000" w:rsidP="00000000" w:rsidRDefault="00000000" w:rsidRPr="00000000" w14:paraId="00000073">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4">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sz. MELLÉKLET: Konvertálható Instrumentum Megállapodás Minta (ld</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a mintadokumentumtárban a SAFE illetve Konvertálható Kölcsön mindadokumentumokat) </w:t>
            </w:r>
          </w:p>
        </w:tc>
        <w:tc>
          <w:tcPr/>
          <w:p w:rsidR="00000000" w:rsidDel="00000000" w:rsidP="00000000" w:rsidRDefault="00000000" w:rsidRPr="00000000" w14:paraId="00000075">
            <w:pPr>
              <w:keepNext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Schedule 1: Form of Convertible Instrument Agreement (see in the Legal Library the SAFE and Convertible Loan sample documents)</w:t>
            </w:r>
          </w:p>
          <w:p w:rsidR="00000000" w:rsidDel="00000000" w:rsidP="00000000" w:rsidRDefault="00000000" w:rsidRPr="00000000" w14:paraId="00000076">
            <w:pPr>
              <w:jc w:val="both"/>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07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Unbounde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tabs>
        <w:tab w:val="center" w:leader="none" w:pos="4536"/>
        <w:tab w:val="right" w:leader="none" w:pos="9072"/>
      </w:tabs>
      <w:jc w:val="right"/>
      <w:rPr>
        <w:rFonts w:ascii="Calibri" w:cs="Calibri" w:eastAsia="Calibri" w:hAnsi="Calibri"/>
        <w:sz w:val="22"/>
        <w:szCs w:val="22"/>
      </w:rPr>
    </w:pPr>
    <w:r w:rsidDel="00000000" w:rsidR="00000000" w:rsidRPr="00000000">
      <w:rPr>
        <w:rFonts w:ascii="Calibri" w:cs="Calibri" w:eastAsia="Calibri" w:hAnsi="Calibri"/>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5">
    <w:pPr>
      <w:pBdr>
        <w:top w:color="000000" w:space="2" w:sz="18" w:val="single"/>
      </w:pBdr>
      <w:spacing w:before="200" w:lineRule="auto"/>
      <w:ind w:left="-1440" w:right="-1440" w:firstLine="720"/>
      <w:rPr>
        <w:sz w:val="22"/>
        <w:szCs w:val="22"/>
      </w:rPr>
    </w:pPr>
    <w:r w:rsidDel="00000000" w:rsidR="00000000" w:rsidRPr="00000000">
      <w:rPr>
        <w:rFonts w:ascii="Unbounded" w:cs="Unbounded" w:eastAsia="Unbounded" w:hAnsi="Unbounded"/>
        <w:sz w:val="22"/>
        <w:szCs w:val="22"/>
        <w:rtl w:val="0"/>
      </w:rPr>
      <w:br w:type="textWrapping"/>
      <w:tab/>
      <w:t xml:space="preserve">IN COLLABORATION WITH</w:t>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2793365</wp:posOffset>
          </wp:positionH>
          <wp:positionV relativeFrom="paragraph">
            <wp:posOffset>41275</wp:posOffset>
          </wp:positionV>
          <wp:extent cx="58420" cy="60667"/>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8420" cy="60667"/>
                  </a:xfrm>
                  <a:prstGeom prst="rect"/>
                  <a:ln/>
                </pic:spPr>
              </pic:pic>
            </a:graphicData>
          </a:graphic>
        </wp:anchor>
      </w:drawing>
    </w:r>
  </w:p>
  <w:p w:rsidR="00000000" w:rsidDel="00000000" w:rsidP="00000000" w:rsidRDefault="00000000" w:rsidRPr="00000000" w14:paraId="00000086">
    <w:pPr>
      <w:ind w:left="-540" w:right="-360" w:firstLine="0"/>
      <w:jc w:val="center"/>
      <w:rPr>
        <w:sz w:val="22"/>
        <w:szCs w:val="22"/>
      </w:rPr>
    </w:pPr>
    <w:r w:rsidDel="00000000" w:rsidR="00000000" w:rsidRPr="00000000">
      <w:rPr>
        <w:sz w:val="22"/>
        <w:szCs w:val="22"/>
      </w:rPr>
      <w:drawing>
        <wp:inline distB="114300" distT="114300" distL="114300" distR="114300">
          <wp:extent cx="1014413" cy="361950"/>
          <wp:effectExtent b="0" l="0" r="0" t="0"/>
          <wp:docPr id="2" name="image9.png"/>
          <a:graphic>
            <a:graphicData uri="http://schemas.openxmlformats.org/drawingml/2006/picture">
              <pic:pic>
                <pic:nvPicPr>
                  <pic:cNvPr id="0" name="image9.png"/>
                  <pic:cNvPicPr preferRelativeResize="0"/>
                </pic:nvPicPr>
                <pic:blipFill>
                  <a:blip r:embed="rId2"/>
                  <a:srcRect b="32934" l="0" r="0" t="31736"/>
                  <a:stretch>
                    <a:fillRect/>
                  </a:stretch>
                </pic:blipFill>
                <pic:spPr>
                  <a:xfrm>
                    <a:off x="0" y="0"/>
                    <a:ext cx="1014413" cy="361950"/>
                  </a:xfrm>
                  <a:prstGeom prst="rect"/>
                  <a:ln/>
                </pic:spPr>
              </pic:pic>
            </a:graphicData>
          </a:graphic>
        </wp:inline>
      </w:drawing>
    </w:r>
    <w:r w:rsidDel="00000000" w:rsidR="00000000" w:rsidRPr="00000000">
      <w:rPr>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71513" cy="304800"/>
          <wp:effectExtent b="0" l="0" r="0" t="0"/>
          <wp:docPr id="11" name="image10.png"/>
          <a:graphic>
            <a:graphicData uri="http://schemas.openxmlformats.org/drawingml/2006/picture">
              <pic:pic>
                <pic:nvPicPr>
                  <pic:cNvPr id="0" name="image10.png"/>
                  <pic:cNvPicPr preferRelativeResize="0"/>
                </pic:nvPicPr>
                <pic:blipFill>
                  <a:blip r:embed="rId3"/>
                  <a:srcRect b="33004" l="13385" r="12598" t="32113"/>
                  <a:stretch>
                    <a:fillRect/>
                  </a:stretch>
                </pic:blipFill>
                <pic:spPr>
                  <a:xfrm>
                    <a:off x="0" y="0"/>
                    <a:ext cx="671513" cy="304800"/>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1014413" cy="338138"/>
          <wp:effectExtent b="0" l="0" r="0" t="0"/>
          <wp:docPr id="9" name="image5.png"/>
          <a:graphic>
            <a:graphicData uri="http://schemas.openxmlformats.org/drawingml/2006/picture">
              <pic:pic>
                <pic:nvPicPr>
                  <pic:cNvPr id="0" name="image5.png"/>
                  <pic:cNvPicPr preferRelativeResize="0"/>
                </pic:nvPicPr>
                <pic:blipFill>
                  <a:blip r:embed="rId4"/>
                  <a:srcRect b="33775" l="0" r="0" t="32946"/>
                  <a:stretch>
                    <a:fillRect/>
                  </a:stretch>
                </pic:blipFill>
                <pic:spPr>
                  <a:xfrm>
                    <a:off x="0" y="0"/>
                    <a:ext cx="1014413" cy="338138"/>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985838" cy="322947"/>
          <wp:effectExtent b="0" l="0" r="0" t="0"/>
          <wp:docPr id="5" name="image6.png"/>
          <a:graphic>
            <a:graphicData uri="http://schemas.openxmlformats.org/drawingml/2006/picture">
              <pic:pic>
                <pic:nvPicPr>
                  <pic:cNvPr id="0" name="image6.png"/>
                  <pic:cNvPicPr preferRelativeResize="0"/>
                </pic:nvPicPr>
                <pic:blipFill>
                  <a:blip r:embed="rId5"/>
                  <a:srcRect b="34907" l="0" r="0" t="32283"/>
                  <a:stretch>
                    <a:fillRect/>
                  </a:stretch>
                </pic:blipFill>
                <pic:spPr>
                  <a:xfrm>
                    <a:off x="0" y="0"/>
                    <a:ext cx="985838" cy="322947"/>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90563" cy="365592"/>
          <wp:effectExtent b="0" l="0" r="0" t="0"/>
          <wp:docPr id="6" name="image11.png"/>
          <a:graphic>
            <a:graphicData uri="http://schemas.openxmlformats.org/drawingml/2006/picture">
              <pic:pic>
                <pic:nvPicPr>
                  <pic:cNvPr id="0" name="image11.png"/>
                  <pic:cNvPicPr preferRelativeResize="0"/>
                </pic:nvPicPr>
                <pic:blipFill>
                  <a:blip r:embed="rId6"/>
                  <a:srcRect b="28584" l="0" r="0" t="19601"/>
                  <a:stretch>
                    <a:fillRect/>
                  </a:stretch>
                </pic:blipFill>
                <pic:spPr>
                  <a:xfrm>
                    <a:off x="0" y="0"/>
                    <a:ext cx="690563" cy="36559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540" w:right="-360" w:firstLine="0"/>
      <w:jc w:val="center"/>
      <w:rPr/>
    </w:pPr>
    <w:r w:rsidDel="00000000" w:rsidR="00000000" w:rsidRPr="00000000">
      <w:rPr>
        <w:rFonts w:ascii="Unbounded" w:cs="Unbounded" w:eastAsia="Unbounded" w:hAnsi="Unbounded"/>
        <w:sz w:val="22"/>
        <w:szCs w:val="22"/>
      </w:rPr>
      <w:drawing>
        <wp:inline distB="114300" distT="114300" distL="114300" distR="114300">
          <wp:extent cx="642938" cy="398342"/>
          <wp:effectExtent b="0" l="0" r="0" t="0"/>
          <wp:docPr id="1" name="image1.png"/>
          <a:graphic>
            <a:graphicData uri="http://schemas.openxmlformats.org/drawingml/2006/picture">
              <pic:pic>
                <pic:nvPicPr>
                  <pic:cNvPr id="0" name="image1.png"/>
                  <pic:cNvPicPr preferRelativeResize="0"/>
                </pic:nvPicPr>
                <pic:blipFill>
                  <a:blip r:embed="rId7"/>
                  <a:srcRect b="17749" l="0" r="0" t="20979"/>
                  <a:stretch>
                    <a:fillRect/>
                  </a:stretch>
                </pic:blipFill>
                <pic:spPr>
                  <a:xfrm>
                    <a:off x="0" y="0"/>
                    <a:ext cx="642938" cy="398342"/>
                  </a:xfrm>
                  <a:prstGeom prst="rect"/>
                  <a:ln/>
                </pic:spPr>
              </pic:pic>
            </a:graphicData>
          </a:graphic>
        </wp:inline>
      </w:drawing>
    </w:r>
    <w:r w:rsidDel="00000000" w:rsidR="00000000" w:rsidRPr="00000000">
      <w:rPr>
        <w:rFonts w:ascii="Unbounded" w:cs="Unbounded" w:eastAsia="Unbounded" w:hAnsi="Unbounded"/>
        <w:sz w:val="22"/>
        <w:szCs w:val="22"/>
        <w:rtl w:val="0"/>
      </w:rPr>
      <w:tab/>
      <w:tab/>
    </w:r>
    <w:r w:rsidDel="00000000" w:rsidR="00000000" w:rsidRPr="00000000">
      <w:rPr>
        <w:sz w:val="22"/>
        <w:szCs w:val="22"/>
      </w:rPr>
      <w:drawing>
        <wp:inline distB="114300" distT="114300" distL="114300" distR="114300">
          <wp:extent cx="1035507" cy="258877"/>
          <wp:effectExtent b="0" l="0" r="0" t="0"/>
          <wp:docPr id="13" name="image3.png"/>
          <a:graphic>
            <a:graphicData uri="http://schemas.openxmlformats.org/drawingml/2006/picture">
              <pic:pic>
                <pic:nvPicPr>
                  <pic:cNvPr id="0" name="image3.png"/>
                  <pic:cNvPicPr preferRelativeResize="0"/>
                </pic:nvPicPr>
                <pic:blipFill>
                  <a:blip r:embed="rId8"/>
                  <a:srcRect b="0" l="5299" r="5364" t="0"/>
                  <a:stretch>
                    <a:fillRect/>
                  </a:stretch>
                </pic:blipFill>
                <pic:spPr>
                  <a:xfrm>
                    <a:off x="0" y="0"/>
                    <a:ext cx="1035507" cy="258877"/>
                  </a:xfrm>
                  <a:prstGeom prst="rect"/>
                  <a:ln/>
                </pic:spPr>
              </pic:pic>
            </a:graphicData>
          </a:graphic>
        </wp:inline>
      </w:drawing>
    </w:r>
    <w:r w:rsidDel="00000000" w:rsidR="00000000" w:rsidRPr="00000000">
      <w:rPr>
        <w:sz w:val="22"/>
        <w:szCs w:val="22"/>
        <w:rtl w:val="0"/>
      </w:rPr>
      <w:tab/>
    </w:r>
    <w:r w:rsidDel="00000000" w:rsidR="00000000" w:rsidRPr="00000000">
      <w:rPr>
        <w:sz w:val="22"/>
        <w:szCs w:val="22"/>
      </w:rPr>
      <w:drawing>
        <wp:inline distB="114300" distT="114300" distL="114300" distR="114300">
          <wp:extent cx="801525" cy="267175"/>
          <wp:effectExtent b="0" l="0" r="0" t="0"/>
          <wp:docPr id="10" name="image2.png"/>
          <a:graphic>
            <a:graphicData uri="http://schemas.openxmlformats.org/drawingml/2006/picture">
              <pic:pic>
                <pic:nvPicPr>
                  <pic:cNvPr id="0" name="image2.png"/>
                  <pic:cNvPicPr preferRelativeResize="0"/>
                </pic:nvPicPr>
                <pic:blipFill>
                  <a:blip r:embed="rId9"/>
                  <a:srcRect b="35220" l="4980" r="3865" t="34591"/>
                  <a:stretch>
                    <a:fillRect/>
                  </a:stretch>
                </pic:blipFill>
                <pic:spPr>
                  <a:xfrm>
                    <a:off x="0" y="0"/>
                    <a:ext cx="801525" cy="267175"/>
                  </a:xfrm>
                  <a:prstGeom prst="rect"/>
                  <a:ln/>
                </pic:spPr>
              </pic:pic>
            </a:graphicData>
          </a:graphic>
        </wp:inline>
      </w:drawing>
    </w:r>
    <w:r w:rsidDel="00000000" w:rsidR="00000000" w:rsidRPr="00000000">
      <w:rPr>
        <w:sz w:val="22"/>
        <w:szCs w:val="22"/>
        <w:rtl w:val="0"/>
      </w:rPr>
      <w:tab/>
      <w:tab/>
    </w:r>
    <w:r w:rsidDel="00000000" w:rsidR="00000000" w:rsidRPr="00000000">
      <w:rPr>
        <w:sz w:val="22"/>
        <w:szCs w:val="22"/>
      </w:rPr>
      <w:drawing>
        <wp:inline distB="114300" distT="114300" distL="114300" distR="114300">
          <wp:extent cx="853005" cy="366713"/>
          <wp:effectExtent b="0" l="0" r="0" t="0"/>
          <wp:docPr id="8" name="image7.png"/>
          <a:graphic>
            <a:graphicData uri="http://schemas.openxmlformats.org/drawingml/2006/picture">
              <pic:pic>
                <pic:nvPicPr>
                  <pic:cNvPr id="0" name="image7.png"/>
                  <pic:cNvPicPr preferRelativeResize="0"/>
                </pic:nvPicPr>
                <pic:blipFill>
                  <a:blip r:embed="rId10"/>
                  <a:srcRect b="31791" l="6622" r="4895" t="32369"/>
                  <a:stretch>
                    <a:fillRect/>
                  </a:stretch>
                </pic:blipFill>
                <pic:spPr>
                  <a:xfrm>
                    <a:off x="0" y="0"/>
                    <a:ext cx="853005" cy="366713"/>
                  </a:xfrm>
                  <a:prstGeom prst="rect"/>
                  <a:ln/>
                </pic:spPr>
              </pic:pic>
            </a:graphicData>
          </a:graphic>
        </wp:inline>
      </w:drawing>
    </w:r>
    <w:r w:rsidDel="00000000" w:rsidR="00000000" w:rsidRPr="00000000">
      <w:rPr>
        <w:sz w:val="22"/>
        <w:szCs w:val="22"/>
        <w:rtl w:val="0"/>
      </w:rPr>
      <w:tab/>
      <w:tab/>
    </w:r>
    <w:r w:rsidDel="00000000" w:rsidR="00000000" w:rsidRPr="00000000">
      <w:rPr>
        <w:rFonts w:ascii="Unbounded" w:cs="Unbounded" w:eastAsia="Unbounded" w:hAnsi="Unbounded"/>
        <w:sz w:val="22"/>
        <w:szCs w:val="22"/>
      </w:rPr>
      <w:drawing>
        <wp:inline distB="114300" distT="114300" distL="114300" distR="114300">
          <wp:extent cx="519113" cy="323382"/>
          <wp:effectExtent b="0" l="0" r="0" t="0"/>
          <wp:docPr id="7" name="image13.png"/>
          <a:graphic>
            <a:graphicData uri="http://schemas.openxmlformats.org/drawingml/2006/picture">
              <pic:pic>
                <pic:nvPicPr>
                  <pic:cNvPr id="0" name="image13.png"/>
                  <pic:cNvPicPr preferRelativeResize="0"/>
                </pic:nvPicPr>
                <pic:blipFill>
                  <a:blip r:embed="rId11"/>
                  <a:srcRect b="23433" l="6140" r="6284" t="22824"/>
                  <a:stretch>
                    <a:fillRect/>
                  </a:stretch>
                </pic:blipFill>
                <pic:spPr>
                  <a:xfrm>
                    <a:off x="0" y="0"/>
                    <a:ext cx="519113" cy="323382"/>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16"/>
          <w:szCs w:val="16"/>
          <w:rtl w:val="0"/>
        </w:rPr>
        <w:t xml:space="preserve">Regulatory background:  Section 9/A(2) of Act XXXIV of 2004 on small and medium-sized enterprises and support for their development (the SME Act) requires that “the contract for the granting of a loan convertible into capital shall be concluded by the creditor with the company and all its members or all its shareholders. If all the members or shareholders do not take part in the conclusion of the contract for the granting of a loan convertible into capital, the consent of all the members or shareholders of the company shall be required for the conclusion of the contract. Any agreement to the contrary by the parties shall be null and void.” The SME Act only permits convertible loans to be provided to a start-up enterprise, which are defined as a micro or small enterprise which has been registered for not more than five years, is not listed on a stock exchange, has not yet distributed profits and has not been formed by merger or division.  Section 9/A(7) of the SME Act requires the lender providing a loan convertible into equity that it must, within 5 days of the conclusion of the contract for the provision of the loan convertible into equity and within 5 days of the conversion being recorded in the articles of association, make a notification as per section 42/J of Act LXXVI of 2014 on scientific research, development and innovation. Such notification must be made to NKFI (https://kfivelemeny.nkfih.gov.hu/). </w:t>
      </w:r>
    </w:p>
    <w:p w:rsidR="00000000" w:rsidDel="00000000" w:rsidP="00000000" w:rsidRDefault="00000000" w:rsidRPr="00000000" w14:paraId="0000007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Act CCXXXVII of 2013 on credit institutions and financial undertakings (the Banking Act) limits lending activity in Hungary for profit (but, for example, interest-free loans are permitted). Section 6 (5)(f) exempts from licensing and regulatory requirements the granting of a loan convertible into capital on a limited basis within the meaning of the SME Act, up to a maximum of fifteen times in a calendar year, provided that: </w:t>
      </w:r>
    </w:p>
    <w:p w:rsidR="00000000" w:rsidDel="00000000" w:rsidP="00000000" w:rsidRDefault="00000000" w:rsidRPr="00000000" w14:paraId="0000007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 in the case of a natural person, when aggregated with their relatives, the total amount of loans granted to an enterprise may not exceed HUF 150 million, </w:t>
      </w:r>
    </w:p>
    <w:p w:rsidR="00000000" w:rsidDel="00000000" w:rsidP="00000000" w:rsidRDefault="00000000" w:rsidRPr="00000000" w14:paraId="0000007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(fb) in the case of a legal person, when aggregated with its affiliates, the total amount of loans granted to an enterprise may not exceed HUF 2 billion, not including such transactions concluded by a financial institution. </w:t>
      </w:r>
    </w:p>
    <w:p w:rsidR="00000000" w:rsidDel="00000000" w:rsidP="00000000" w:rsidRDefault="00000000" w:rsidRPr="00000000" w14:paraId="0000007E">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Said that, in our [HVCA] interpretation section 67(9a) of Act XVI of 2014 on collective investment schemes and their managers and amending certain financial laws generally authorises regulated fund managers to provide loans. This section states that “a venture capital fund and a private equity fund may grant a money loan, provided that the duration of the money loan does not exceed the total duration of the remaining term of the venture capital fund or the private equity fund at the time of the granting of the loan.” In our view, this is a special regulation that overrides the general rules set out in the Banking Act. The practical implication is that regulated funds can provide loans without regard to the financial thresholds mentioned in section 6(5)(f) of the Banking Act. / Szabályozási háttér: A kis- és középvállalkozásokról, fejlődésük támogatásáról szóló 2004. évi XXXIV. törvény (a továbbiakban: Kkv. törvény) 9/A. § (2) bekezdése</w:t>
      </w:r>
      <w:hyperlink r:id="rId1">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előírja, hogy „a tőkévé konvertálható kölcsön nyújtására irányuló szerződést a hitelező a társasággal és annak valamennyi tagjával vagy valamennyi részvényesével köti meg. Ha a tőkévé konvertálható kölcsön nyújtására irányuló szerződés megkötésében valamennyi tag vagy részvényes nem vesz részt, a szerződés létrejöttéhez a társaság valamennyi tagjának vagy részvényesének hozzájárulása szükséges. A felek ettől eltérő megállapodása semmis.” A Kkv. törvény csak induló vállalkozásnak minősülő társaságok részére engedélyezi a tőkévé konvertálható kölcsön nyújtását, melyeket úgy határoz meg, mint olyan mikro- vagy kisvállalkozások, amelyek legfeljebb öt éve kerültek bejegyzésre, nincsenek tőzsdén jegyezve, még nem osztottak nyereséget, és nem egyesülés vagy szétválás útján jöttek létre.</w:t>
      </w:r>
      <w:hyperlink r:id="rId2">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A Kkv. törvény 9/A. § (7) bekezdése</w:t>
      </w:r>
      <w:hyperlink r:id="rId3">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szerint a tőkévé konvertálható kölcsönt nyújtó hitelezőnek a kölcsön nyújtására irányuló szerződés megkötését követő 5 napon belül, valamint a konverzióról annak létesítő okiratban történő átvezetésének megtörténtétől számított 5 napon belül bejelentést kell tennie a tudományos kutatásról, fejlesztésről és innovációról szóló 2014. évi LXXVI. törvény 42/J. §-ában</w:t>
      </w:r>
      <w:hyperlink r:id="rId4">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meghatározottak szerint. Ezt a bejelentést az NKFIH részére kell megtenni. A hitelintézetekről és a pénzügyi vállalkozásokról szóló 2013. évi CCXXXVII. törvény (a továbbiakban: Hpt.) korlátozza a nyereségszerzési célú hitelezési tevékenységet Magyarországon (azonban például a kamatmentes kölcsönök engedélyezettek). A Hpt. 6. § (5) bekezdés f) pontja</w:t>
      </w:r>
      <w:hyperlink r:id="rId5">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mentesíti az engedélyezési és szabályozási követelmények alól a Kkv. törvény szerinti korlátozott körű, tőkévé konvertálható kölcsön nyújtását, egy naptári évben legfeljebb tizenöt alkalommal, feltéve, hogy: </w:t>
      </w:r>
    </w:p>
    <w:p w:rsidR="00000000" w:rsidDel="00000000" w:rsidP="00000000" w:rsidRDefault="00000000" w:rsidRPr="00000000" w14:paraId="0000007F">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 természetes személy esetében a Ptk. 8:1. § (1) bekezdés 2. pontja szerinti hozzátartozóival összeszámítottan az egy vállalkozás részére nyújtott kölcsönök összesített állománya legfeljebb százötvenmillió forint lehet, </w:t>
      </w:r>
    </w:p>
    <w:p w:rsidR="00000000" w:rsidDel="00000000" w:rsidP="00000000" w:rsidRDefault="00000000" w:rsidRPr="00000000" w14:paraId="00000080">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(fb) jogi személy esetében a kapcsolt vállalkozásaival összeszámítve az egy vállalkozás részére nyújtott kölcsönök összesített állománya legfeljebb kettőmilliárd forint lehet, ide nem értve a pénzügyi intézmény által kötött ilyen ügyleteket. </w:t>
      </w:r>
    </w:p>
    <w:p w:rsidR="00000000" w:rsidDel="00000000" w:rsidP="00000000" w:rsidRDefault="00000000" w:rsidRPr="00000000" w14:paraId="00000081">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Ennek ellenére a mi [HVCA] értelmezésünk szerint a kollektív befektetési formákról és kezelőikről, valamint egyes pénzügyi tárgyú törvények módosításáról szóló 2014. évi XVI. törvény 67. § (9a) bekezdése általánosan felhatalmazza a szabályozott alapkezelőket kölcsönök nyújtására. Ez a szakasz kimondja, hogy „a kockázati tőkealap és a magántőkealap pénzkölcsönt nyújthat, feltéve, hogy a pénzkölcsön futamideje nem haladja meg a kockázati tőkealap vagy a magántőkealap fennmaradó teljes futamidejét a kölcsön nyújtásának időpontjában.” Álláspontunk szerint ez egy olyan speciális szabályozás, amely felülírja a Hpt.-ben meghatározott általános szabályokat. A gyakorlati következmény az, hogy a szabályozott alapok a Hpt. 6. § (5) bekezdés f) pontjában</w:t>
      </w:r>
      <w:hyperlink r:id="rId6">
        <w:r w:rsidDel="00000000" w:rsidR="00000000" w:rsidRPr="00000000">
          <w:rPr>
            <w:rFonts w:ascii="Times New Roman" w:cs="Times New Roman" w:eastAsia="Times New Roman" w:hAnsi="Times New Roman"/>
            <w:sz w:val="16"/>
            <w:szCs w:val="16"/>
            <w:rtl w:val="0"/>
          </w:rPr>
          <w:t xml:space="preserve"> </w:t>
        </w:r>
      </w:hyperlink>
      <w:r w:rsidDel="00000000" w:rsidR="00000000" w:rsidRPr="00000000">
        <w:rPr>
          <w:rFonts w:ascii="Times New Roman" w:cs="Times New Roman" w:eastAsia="Times New Roman" w:hAnsi="Times New Roman"/>
          <w:sz w:val="16"/>
          <w:szCs w:val="16"/>
          <w:rtl w:val="0"/>
        </w:rPr>
        <w:t xml:space="preserve">említett pénzügyi küszöbök figyelembevétele nélkül nyújthatnak kölcsönöket.  </w:t>
      </w:r>
    </w:p>
  </w:footnote>
  <w:footnote w:id="1">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[drafting note: technically only a zrt. can issue shares, in a kft. quotas are equity interests created by court registration of a capital increase]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color="000000" w:space="2" w:sz="18" w:val="single"/>
        <w:bottom w:color="000000" w:space="2" w:sz="18" w:val="single"/>
      </w:pBdr>
      <w:spacing w:after="200" w:line="276" w:lineRule="auto"/>
      <w:ind w:left="-1433.8235294117646" w:right="-1425.0000000000002" w:firstLine="713.8235294117646"/>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12" name="image12.png"/>
          <a:graphic>
            <a:graphicData uri="http://schemas.openxmlformats.org/drawingml/2006/picture">
              <pic:pic>
                <pic:nvPicPr>
                  <pic:cNvPr id="0" name="image12.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h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753825"/>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53825"/>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53825"/>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53825"/>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753825"/>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753825"/>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753825"/>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753825"/>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753825"/>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53825"/>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53825"/>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53825"/>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753825"/>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753825"/>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53825"/>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53825"/>
    <w:rPr>
      <w:i w:val="1"/>
      <w:iCs w:val="1"/>
      <w:color w:val="404040" w:themeColor="text1" w:themeTint="0000BF"/>
    </w:rPr>
  </w:style>
  <w:style w:type="paragraph" w:styleId="ListParagraph">
    <w:name w:val="List Paragraph"/>
    <w:basedOn w:val="Normal"/>
    <w:uiPriority w:val="34"/>
    <w:qFormat w:val="1"/>
    <w:rsid w:val="00753825"/>
    <w:pPr>
      <w:ind w:left="720"/>
      <w:contextualSpacing w:val="1"/>
    </w:pPr>
  </w:style>
  <w:style w:type="character" w:styleId="IntenseEmphasis">
    <w:name w:val="Intense Emphasis"/>
    <w:basedOn w:val="DefaultParagraphFont"/>
    <w:uiPriority w:val="21"/>
    <w:qFormat w:val="1"/>
    <w:rsid w:val="00753825"/>
    <w:rPr>
      <w:i w:val="1"/>
      <w:iCs w:val="1"/>
      <w:color w:val="2f5496" w:themeColor="accent1" w:themeShade="0000BF"/>
    </w:rPr>
  </w:style>
  <w:style w:type="paragraph" w:styleId="IntenseQuote">
    <w:name w:val="Intense Quote"/>
    <w:basedOn w:val="Normal"/>
    <w:next w:val="Normal"/>
    <w:link w:val="IntenseQuoteChar"/>
    <w:uiPriority w:val="30"/>
    <w:qFormat w:val="1"/>
    <w:rsid w:val="00753825"/>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753825"/>
    <w:rPr>
      <w:i w:val="1"/>
      <w:iCs w:val="1"/>
      <w:color w:val="2f5496" w:themeColor="accent1" w:themeShade="0000BF"/>
    </w:rPr>
  </w:style>
  <w:style w:type="character" w:styleId="IntenseReference">
    <w:name w:val="Intense Reference"/>
    <w:basedOn w:val="DefaultParagraphFont"/>
    <w:uiPriority w:val="32"/>
    <w:qFormat w:val="1"/>
    <w:rsid w:val="00753825"/>
    <w:rPr>
      <w:b w:val="1"/>
      <w:bCs w:val="1"/>
      <w:smallCaps w:val="1"/>
      <w:color w:val="2f5496" w:themeColor="accent1" w:themeShade="0000BF"/>
      <w:spacing w:val="5"/>
    </w:rPr>
  </w:style>
  <w:style w:type="table" w:styleId="TableGrid">
    <w:name w:val="Table Grid"/>
    <w:basedOn w:val="TableNormal"/>
    <w:uiPriority w:val="39"/>
    <w:rsid w:val="00433EF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E1Parties" w:customStyle="1">
    <w:name w:val="SuE (1) Parties"/>
    <w:basedOn w:val="Normal"/>
    <w:uiPriority w:val="1"/>
    <w:rsid w:val="00433EFD"/>
    <w:pPr>
      <w:numPr>
        <w:numId w:val="1"/>
      </w:numPr>
      <w:spacing w:after="120" w:before="120" w:line="276" w:lineRule="auto"/>
      <w:jc w:val="both"/>
    </w:pPr>
    <w:rPr>
      <w:noProof w:val="1"/>
      <w:szCs w:val="21"/>
    </w:rPr>
  </w:style>
  <w:style w:type="paragraph" w:styleId="SuERecital1level" w:customStyle="1">
    <w:name w:val="SuE Recital 1 level"/>
    <w:basedOn w:val="Normal"/>
    <w:uiPriority w:val="2"/>
    <w:rsid w:val="00433EFD"/>
    <w:pPr>
      <w:numPr>
        <w:numId w:val="2"/>
      </w:numPr>
      <w:overflowPunct w:val="0"/>
      <w:autoSpaceDE w:val="0"/>
      <w:autoSpaceDN w:val="0"/>
      <w:adjustRightInd w:val="0"/>
      <w:spacing w:after="120" w:before="120" w:line="276" w:lineRule="auto"/>
      <w:jc w:val="both"/>
    </w:pPr>
    <w:rPr>
      <w:noProof w:val="1"/>
      <w:szCs w:val="21"/>
    </w:rPr>
  </w:style>
  <w:style w:type="paragraph" w:styleId="FootnoteText">
    <w:name w:val="footnote text"/>
    <w:basedOn w:val="Normal"/>
    <w:link w:val="FootnoteTextChar"/>
    <w:uiPriority w:val="99"/>
    <w:semiHidden w:val="1"/>
    <w:unhideWhenUsed w:val="1"/>
    <w:rsid w:val="006C5F2C"/>
    <w:rPr>
      <w:szCs w:val="20"/>
    </w:rPr>
  </w:style>
  <w:style w:type="character" w:styleId="FootnoteTextChar" w:customStyle="1">
    <w:name w:val="Footnote Text Char"/>
    <w:basedOn w:val="DefaultParagraphFont"/>
    <w:link w:val="FootnoteText"/>
    <w:uiPriority w:val="99"/>
    <w:semiHidden w:val="1"/>
    <w:rsid w:val="006C5F2C"/>
    <w:rPr>
      <w:rFonts w:ascii="Arial" w:cs="Arial" w:eastAsia="Arial" w:hAnsi="Arial"/>
      <w:kern w:val="0"/>
      <w:sz w:val="20"/>
      <w:szCs w:val="20"/>
      <w:lang w:val="en-GB"/>
    </w:rPr>
  </w:style>
  <w:style w:type="character" w:styleId="FootnoteReference">
    <w:name w:val="footnote reference"/>
    <w:basedOn w:val="DefaultParagraphFont"/>
    <w:uiPriority w:val="99"/>
    <w:semiHidden w:val="1"/>
    <w:unhideWhenUsed w:val="1"/>
    <w:rsid w:val="006C5F2C"/>
    <w:rPr>
      <w:vertAlign w:val="superscript"/>
    </w:rPr>
  </w:style>
  <w:style w:type="character" w:styleId="CommentReference">
    <w:name w:val="annotation reference"/>
    <w:basedOn w:val="DefaultParagraphFont"/>
    <w:uiPriority w:val="99"/>
    <w:semiHidden w:val="1"/>
    <w:unhideWhenUsed w:val="1"/>
    <w:rsid w:val="009300A9"/>
    <w:rPr>
      <w:sz w:val="16"/>
      <w:szCs w:val="16"/>
    </w:rPr>
  </w:style>
  <w:style w:type="paragraph" w:styleId="CommentText">
    <w:name w:val="annotation text"/>
    <w:basedOn w:val="Normal"/>
    <w:link w:val="CommentTextChar"/>
    <w:uiPriority w:val="99"/>
    <w:unhideWhenUsed w:val="1"/>
    <w:rsid w:val="009300A9"/>
    <w:rPr>
      <w:szCs w:val="20"/>
    </w:rPr>
  </w:style>
  <w:style w:type="character" w:styleId="CommentTextChar" w:customStyle="1">
    <w:name w:val="Comment Text Char"/>
    <w:basedOn w:val="DefaultParagraphFont"/>
    <w:link w:val="CommentText"/>
    <w:uiPriority w:val="99"/>
    <w:rsid w:val="009300A9"/>
    <w:rPr>
      <w:rFonts w:ascii="Arial" w:cs="Arial" w:eastAsia="Arial" w:hAnsi="Arial"/>
      <w:kern w:val="0"/>
      <w:sz w:val="20"/>
      <w:szCs w:val="20"/>
      <w:lang w:val="en-GB"/>
    </w:rPr>
  </w:style>
  <w:style w:type="paragraph" w:styleId="CommentSubject">
    <w:name w:val="annotation subject"/>
    <w:basedOn w:val="CommentText"/>
    <w:next w:val="CommentText"/>
    <w:link w:val="CommentSubjectChar"/>
    <w:uiPriority w:val="99"/>
    <w:semiHidden w:val="1"/>
    <w:unhideWhenUsed w:val="1"/>
    <w:rsid w:val="009300A9"/>
    <w:rPr>
      <w:b w:val="1"/>
      <w:bCs w:val="1"/>
    </w:rPr>
  </w:style>
  <w:style w:type="character" w:styleId="CommentSubjectChar" w:customStyle="1">
    <w:name w:val="Comment Subject Char"/>
    <w:basedOn w:val="CommentTextChar"/>
    <w:link w:val="CommentSubject"/>
    <w:uiPriority w:val="99"/>
    <w:semiHidden w:val="1"/>
    <w:rsid w:val="009300A9"/>
    <w:rPr>
      <w:rFonts w:ascii="Arial" w:cs="Arial" w:eastAsia="Arial" w:hAnsi="Arial"/>
      <w:b w:val="1"/>
      <w:bCs w:val="1"/>
      <w:kern w:val="0"/>
      <w:sz w:val="20"/>
      <w:szCs w:val="20"/>
      <w:lang w:val="en-GB"/>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nbounded-regular.ttf"/><Relationship Id="rId2" Type="http://schemas.openxmlformats.org/officeDocument/2006/relationships/font" Target="fonts/Unbounde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5.png"/><Relationship Id="rId11" Type="http://schemas.openxmlformats.org/officeDocument/2006/relationships/image" Target="media/image13.png"/><Relationship Id="rId10" Type="http://schemas.openxmlformats.org/officeDocument/2006/relationships/image" Target="media/image7.png"/><Relationship Id="rId9" Type="http://schemas.openxmlformats.org/officeDocument/2006/relationships/image" Target="media/image2.png"/><Relationship Id="rId5" Type="http://schemas.openxmlformats.org/officeDocument/2006/relationships/image" Target="media/image6.png"/><Relationship Id="rId6"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njt.hu/jogszabaly/2004-34-00-00#SZ9A" TargetMode="External"/><Relationship Id="rId2" Type="http://schemas.openxmlformats.org/officeDocument/2006/relationships/hyperlink" Target="https://njt.hu/jogszabaly/2004-34-00-00#SZ9A" TargetMode="External"/><Relationship Id="rId3" Type="http://schemas.openxmlformats.org/officeDocument/2006/relationships/hyperlink" Target="https://njt.hu/jogszabaly/2004-34-00-00#SZ9A" TargetMode="External"/><Relationship Id="rId4" Type="http://schemas.openxmlformats.org/officeDocument/2006/relationships/hyperlink" Target="https://njt.hu/jogszabaly/2014-76-00-00#SZ42J" TargetMode="External"/><Relationship Id="rId5" Type="http://schemas.openxmlformats.org/officeDocument/2006/relationships/hyperlink" Target="https://njt.hu/jogszabaly/2013-237-00-00#SZ6" TargetMode="External"/><Relationship Id="rId6" Type="http://schemas.openxmlformats.org/officeDocument/2006/relationships/hyperlink" Target="https://njt.hu/jogszabaly/2013-237-00-00#SZ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LojeBouThjGwE7e0fWGsEelgw==">CgMxLjAyDmgubWUydml1N3g3bjFmMghoLmdqZGd4czIOaC5tZTJ2aXU3eDduMWYyDmgua2pqcTY3cnV1ZGJzMg5oLjh3bGJvdDMyMzI2cTIOaC51ZmdyZHc3Z2F2cG84AHIhMVU3YUljMUM4RHpPMFpmRDRFNFdxU01QWUllTWg0d1Jk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2025-08-22T11:20:00Z</dcterms:created>
  <dc:creator>Barbara Sulyok</dc:creator>
</cp:coreProperties>
</file>