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022.0" w:type="dxa"/>
        <w:jc w:val="left"/>
        <w:tblInd w:w="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507"/>
        <w:tblGridChange w:id="0">
          <w:tblGrid>
            <w:gridCol w:w="4515"/>
            <w:gridCol w:w="4507"/>
          </w:tblGrid>
        </w:tblGridChange>
      </w:tblGrid>
      <w:tr>
        <w:trPr>
          <w:cantSplit w:val="0"/>
          <w:tblHeader w:val="0"/>
        </w:trPr>
        <w:tc>
          <w:tcPr/>
          <w:p w:rsidR="00000000" w:rsidDel="00000000" w:rsidP="00000000" w:rsidRDefault="00000000" w:rsidRPr="00000000" w14:paraId="00000002">
            <w:pPr>
              <w:spacing w:after="0" w:lineRule="auto"/>
              <w:ind w:firstLine="720"/>
              <w:jc w:val="center"/>
              <w:rPr/>
            </w:pPr>
            <w:r w:rsidDel="00000000" w:rsidR="00000000" w:rsidRPr="00000000">
              <w:rPr>
                <w:rtl w:val="0"/>
              </w:rPr>
              <w:t xml:space="preserve">[TÁRSASÁG NEVE]</w:t>
            </w:r>
          </w:p>
        </w:tc>
        <w:tc>
          <w:tcPr/>
          <w:p w:rsidR="00000000" w:rsidDel="00000000" w:rsidP="00000000" w:rsidRDefault="00000000" w:rsidRPr="00000000" w14:paraId="00000003">
            <w:pPr>
              <w:spacing w:after="0" w:lineRule="auto"/>
              <w:ind w:firstLine="720"/>
              <w:jc w:val="left"/>
              <w:rPr/>
            </w:pPr>
            <w:r w:rsidDel="00000000" w:rsidR="00000000" w:rsidRPr="00000000">
              <w:rPr>
                <w:rtl w:val="0"/>
              </w:rPr>
              <w:t xml:space="preserve">[COMPANY NAME]</w:t>
            </w:r>
          </w:p>
        </w:tc>
      </w:tr>
      <w:tr>
        <w:trPr>
          <w:cantSplit w:val="0"/>
          <w:tblHeader w:val="0"/>
        </w:trPr>
        <w:tc>
          <w:tcPr/>
          <w:p w:rsidR="00000000" w:rsidDel="00000000" w:rsidP="00000000" w:rsidRDefault="00000000" w:rsidRPr="00000000" w14:paraId="00000004">
            <w:pPr>
              <w:spacing w:after="0" w:lineRule="auto"/>
              <w:ind w:left="0" w:firstLine="0"/>
              <w:jc w:val="center"/>
              <w:rPr/>
            </w:pPr>
            <w:r w:rsidDel="00000000" w:rsidR="00000000" w:rsidRPr="00000000">
              <w:rPr>
                <w:b w:val="1"/>
                <w:bCs w:val="1"/>
                <w:rtl w:val="0"/>
              </w:rPr>
              <w:t xml:space="preserve">SAFE</w:t>
            </w:r>
            <w:r w:rsidDel="00000000" w:rsidR="00000000" w:rsidRPr="00000000">
              <w:rPr>
                <w:rtl w:val="0"/>
              </w:rPr>
            </w:r>
          </w:p>
        </w:tc>
        <w:tc>
          <w:tcPr/>
          <w:p w:rsidR="00000000" w:rsidDel="00000000" w:rsidP="00000000" w:rsidRDefault="00000000" w:rsidRPr="00000000" w14:paraId="00000005">
            <w:pPr>
              <w:spacing w:after="0" w:lineRule="auto"/>
              <w:ind w:left="0" w:firstLine="0"/>
              <w:jc w:val="center"/>
              <w:rPr>
                <w:b w:val="1"/>
                <w:bCs w:val="1"/>
              </w:rPr>
            </w:pPr>
            <w:r w:rsidDel="00000000" w:rsidR="00000000" w:rsidRPr="00000000">
              <w:rPr>
                <w:b w:val="1"/>
                <w:bCs w:val="1"/>
                <w:rtl w:val="0"/>
              </w:rPr>
              <w:t xml:space="preserve">SAFE</w:t>
            </w:r>
          </w:p>
        </w:tc>
      </w:tr>
      <w:tr>
        <w:trPr>
          <w:cantSplit w:val="0"/>
          <w:tblHeader w:val="0"/>
        </w:trPr>
        <w:tc>
          <w:tcPr/>
          <w:p w:rsidR="00000000" w:rsidDel="00000000" w:rsidP="00000000" w:rsidRDefault="00000000" w:rsidRPr="00000000" w14:paraId="00000006">
            <w:pPr>
              <w:spacing w:after="0" w:lineRule="auto"/>
              <w:ind w:left="0" w:firstLine="0"/>
              <w:rPr/>
            </w:pPr>
            <w:r w:rsidDel="00000000" w:rsidR="00000000" w:rsidRPr="00000000">
              <w:rPr>
                <w:b w:val="1"/>
                <w:bCs w:val="1"/>
                <w:rtl w:val="0"/>
              </w:rPr>
              <w:t xml:space="preserve">(Simple Agreement for Future Equity – Jövőbeli Részesedésre Vonatkozó Egyszerű Megállapodás)</w:t>
            </w:r>
            <w:r w:rsidDel="00000000" w:rsidR="00000000" w:rsidRPr="00000000">
              <w:rPr>
                <w:rtl w:val="0"/>
              </w:rPr>
            </w:r>
          </w:p>
        </w:tc>
        <w:tc>
          <w:tcPr/>
          <w:p w:rsidR="00000000" w:rsidDel="00000000" w:rsidP="00000000" w:rsidRDefault="00000000" w:rsidRPr="00000000" w14:paraId="00000007">
            <w:pPr>
              <w:spacing w:after="0" w:lineRule="auto"/>
              <w:ind w:left="0" w:firstLine="0"/>
              <w:jc w:val="left"/>
              <w:rPr>
                <w:b w:val="1"/>
                <w:bCs w:val="1"/>
              </w:rPr>
            </w:pPr>
            <w:r w:rsidDel="00000000" w:rsidR="00000000" w:rsidRPr="00000000">
              <w:rPr>
                <w:b w:val="1"/>
                <w:bCs w:val="1"/>
                <w:rtl w:val="0"/>
              </w:rPr>
              <w:t xml:space="preserve">(Simple Agreement for Future Equity – for Hungarian companies)</w:t>
            </w:r>
            <w:r w:rsidDel="00000000" w:rsidR="00000000" w:rsidRPr="00000000">
              <w:rPr>
                <w:b w:val="1"/>
                <w:bCs w:val="1"/>
                <w:vertAlign w:val="superscript"/>
              </w:rPr>
              <w:footnoteReference w:customMarkFollows="0" w:id="0"/>
            </w:r>
            <w:r w:rsidDel="00000000" w:rsidR="00000000" w:rsidRPr="00000000">
              <w:rPr>
                <w:rtl w:val="0"/>
              </w:rPr>
            </w:r>
          </w:p>
        </w:tc>
      </w:tr>
      <w:tr>
        <w:trPr>
          <w:cantSplit w:val="0"/>
          <w:tblHeader w:val="0"/>
        </w:trPr>
        <w:tc>
          <w:tcPr/>
          <w:p w:rsidR="00000000" w:rsidDel="00000000" w:rsidP="00000000" w:rsidRDefault="00000000" w:rsidRPr="00000000" w14:paraId="00000008">
            <w:pPr>
              <w:spacing w:after="0" w:lineRule="auto"/>
              <w:ind w:left="0" w:firstLine="0"/>
              <w:rPr/>
            </w:pPr>
            <w:r w:rsidDel="00000000" w:rsidR="00000000" w:rsidRPr="00000000">
              <w:rPr>
                <w:rtl w:val="0"/>
              </w:rPr>
              <w:t xml:space="preserve">Jelen Megállapodás tanúsítja, hogy [Befektető neve], amely [alapítás helye] joghatósága alatt szabályszerűen létrejött és nyilvántartásba vett gazdasági társaság, cégjegyzékszáma: [szám] (a továbbiakban: „</w:t>
            </w:r>
            <w:r w:rsidDel="00000000" w:rsidR="00000000" w:rsidRPr="00000000">
              <w:rPr>
                <w:b w:val="1"/>
                <w:bCs w:val="1"/>
                <w:rtl w:val="0"/>
              </w:rPr>
              <w:t xml:space="preserve">Befektető</w:t>
            </w:r>
            <w:r w:rsidDel="00000000" w:rsidR="00000000" w:rsidRPr="00000000">
              <w:rPr>
                <w:rtl w:val="0"/>
              </w:rPr>
              <w:t xml:space="preserve">”), a [dátum] napján vagy azt megelőzően megfizetett, [valutanem] [összeg] összegű vételár (a továbbiakban: „</w:t>
            </w:r>
            <w:r w:rsidDel="00000000" w:rsidR="00000000" w:rsidRPr="00000000">
              <w:rPr>
                <w:b w:val="1"/>
                <w:bCs w:val="1"/>
                <w:rtl w:val="0"/>
              </w:rPr>
              <w:t xml:space="preserve">Vételár</w:t>
            </w:r>
            <w:r w:rsidDel="00000000" w:rsidR="00000000" w:rsidRPr="00000000">
              <w:rPr>
                <w:rtl w:val="0"/>
              </w:rPr>
              <w:t xml:space="preserve">”) ellenében jogosultságot szerez, hogy a [Társaság neve], amely [alapítás helye] joghatósága alatt szabályszerűen létrejött és nyilvántartásba vett gazdasági társaság, cégjegyzékszáma: [szám] (a továbbiakban: „</w:t>
            </w:r>
            <w:r w:rsidDel="00000000" w:rsidR="00000000" w:rsidRPr="00000000">
              <w:rPr>
                <w:b w:val="1"/>
                <w:bCs w:val="1"/>
                <w:rtl w:val="0"/>
              </w:rPr>
              <w:t xml:space="preserve">Társaság</w:t>
            </w:r>
            <w:r w:rsidDel="00000000" w:rsidR="00000000" w:rsidRPr="00000000">
              <w:rPr>
                <w:rtl w:val="0"/>
              </w:rPr>
              <w:t xml:space="preserve">”), meghatározott részesedését a jelen Megállapodásban rögzített feltételek szerint megszerezze. A Befektető és a Társaság a jelen Megállapodásban együttesen a továbbiakban: „</w:t>
            </w:r>
            <w:r w:rsidDel="00000000" w:rsidR="00000000" w:rsidRPr="00000000">
              <w:rPr>
                <w:b w:val="1"/>
                <w:bCs w:val="1"/>
                <w:rtl w:val="0"/>
              </w:rPr>
              <w:t xml:space="preserve">Felek</w:t>
            </w:r>
            <w:r w:rsidDel="00000000" w:rsidR="00000000" w:rsidRPr="00000000">
              <w:rPr>
                <w:rtl w:val="0"/>
              </w:rPr>
              <w:t xml:space="preserve">”).</w:t>
            </w:r>
          </w:p>
        </w:tc>
        <w:tc>
          <w:tcPr/>
          <w:p w:rsidR="00000000" w:rsidDel="00000000" w:rsidP="00000000" w:rsidRDefault="00000000" w:rsidRPr="00000000" w14:paraId="00000009">
            <w:pPr>
              <w:spacing w:after="0" w:lineRule="auto"/>
              <w:ind w:left="0" w:firstLine="0"/>
              <w:rPr/>
            </w:pPr>
            <w:r w:rsidDel="00000000" w:rsidR="00000000" w:rsidRPr="00000000">
              <w:rPr>
                <w:rtl w:val="0"/>
              </w:rPr>
              <w:t xml:space="preserve">THIS CERTIFIES THAT in exchange for the payment by [Investor Name], a [Country of Incorporation] entity with registration code/number [insert] (the “</w:t>
            </w:r>
            <w:r w:rsidDel="00000000" w:rsidR="00000000" w:rsidRPr="00000000">
              <w:rPr>
                <w:b w:val="1"/>
                <w:bCs w:val="1"/>
                <w:rtl w:val="0"/>
              </w:rPr>
              <w:t xml:space="preserve">Investor</w:t>
            </w:r>
            <w:r w:rsidDel="00000000" w:rsidR="00000000" w:rsidRPr="00000000">
              <w:rPr>
                <w:rtl w:val="0"/>
              </w:rPr>
              <w:t xml:space="preserve">”) of  [insert currency] [_____________] (the “</w:t>
            </w:r>
            <w:r w:rsidDel="00000000" w:rsidR="00000000" w:rsidRPr="00000000">
              <w:rPr>
                <w:b w:val="1"/>
                <w:bCs w:val="1"/>
                <w:rtl w:val="0"/>
              </w:rPr>
              <w:t xml:space="preserve">Purchase Amount</w:t>
            </w:r>
            <w:r w:rsidDel="00000000" w:rsidR="00000000" w:rsidRPr="00000000">
              <w:rPr>
                <w:rtl w:val="0"/>
              </w:rPr>
              <w:t xml:space="preserve">”) on or about</w:t>
            </w:r>
            <w:r w:rsidDel="00000000" w:rsidR="00000000" w:rsidRPr="00000000">
              <w:rPr>
                <w:vertAlign w:val="superscript"/>
              </w:rPr>
              <w:footnoteReference w:customMarkFollows="0" w:id="1"/>
            </w:r>
            <w:r w:rsidDel="00000000" w:rsidR="00000000" w:rsidRPr="00000000">
              <w:rPr>
                <w:rtl w:val="0"/>
              </w:rPr>
              <w:t xml:space="preserve"> [Date of Safe], [Company Name], a Hungarian company (the “</w:t>
            </w:r>
            <w:r w:rsidDel="00000000" w:rsidR="00000000" w:rsidRPr="00000000">
              <w:rPr>
                <w:b w:val="1"/>
                <w:bCs w:val="1"/>
                <w:rtl w:val="0"/>
              </w:rPr>
              <w:t xml:space="preserve">Company</w:t>
            </w:r>
            <w:r w:rsidDel="00000000" w:rsidR="00000000" w:rsidRPr="00000000">
              <w:rPr>
                <w:rtl w:val="0"/>
              </w:rPr>
              <w:t xml:space="preserve">”), issues to the Investor the right to certain shares of the Company’s Capital Stock, subject to the terms described below.</w:t>
            </w:r>
          </w:p>
        </w:tc>
      </w:tr>
      <w:tr>
        <w:trPr>
          <w:cantSplit w:val="0"/>
          <w:tblHeader w:val="0"/>
        </w:trPr>
        <w:tc>
          <w:tcPr/>
          <w:p w:rsidR="00000000" w:rsidDel="00000000" w:rsidP="00000000" w:rsidRDefault="00000000" w:rsidRPr="00000000" w14:paraId="0000000A">
            <w:pPr>
              <w:spacing w:after="0" w:lineRule="auto"/>
              <w:ind w:left="0" w:firstLine="0"/>
              <w:rPr/>
            </w:pPr>
            <w:r w:rsidDel="00000000" w:rsidR="00000000" w:rsidRPr="00000000">
              <w:rPr>
                <w:rtl w:val="0"/>
              </w:rPr>
              <w:t xml:space="preserve">A jelen SAFE megállapodást a Y Combinator Management LLC, illetve annak bármely kapcsolt vállalkozása nem tette közzé, és nem hagyta jóvá. A SAFE a Y Combinator honlapján (</w:t>
            </w:r>
            <w:hyperlink r:id="rId8">
              <w:r w:rsidDel="00000000" w:rsidR="00000000" w:rsidRPr="00000000">
                <w:rPr>
                  <w:color w:val="0563c1"/>
                  <w:u w:val="single"/>
                  <w:rtl w:val="0"/>
                </w:rPr>
                <w:t xml:space="preserve">http://ycombinator.com/documents</w:t>
              </w:r>
            </w:hyperlink>
            <w:r w:rsidDel="00000000" w:rsidR="00000000" w:rsidRPr="00000000">
              <w:rPr>
                <w:rtl w:val="0"/>
              </w:rPr>
              <w:t xml:space="preserve">) elérhető minta alapján került kidolgozásra, azonban a magyar jognak való megfelelés érdekében szükséges módosításokkal került átdolgozásra.  A jelen SAFE a HVCA és a Startup Hungary közös mintadokumentum javaslata. A mintadokumentumok a [</w:t>
            </w:r>
            <w:r w:rsidDel="00000000" w:rsidR="00000000" w:rsidRPr="00000000">
              <w:rPr>
                <w:i w:val="1"/>
                <w:iCs w:val="1"/>
                <w:rtl w:val="0"/>
              </w:rPr>
              <w:t xml:space="preserve">ide beillesztendő</w:t>
            </w:r>
            <w:r w:rsidDel="00000000" w:rsidR="00000000" w:rsidRPr="00000000">
              <w:rPr>
                <w:rtl w:val="0"/>
              </w:rPr>
              <w:t xml:space="preserve">] oldalakon érhetők el. </w:t>
            </w:r>
          </w:p>
          <w:p w:rsidR="00000000" w:rsidDel="00000000" w:rsidP="00000000" w:rsidRDefault="00000000" w:rsidRPr="00000000" w14:paraId="0000000B">
            <w:pPr>
              <w:spacing w:after="0" w:lineRule="auto"/>
              <w:ind w:left="0" w:firstLine="0"/>
              <w:rPr/>
            </w:pPr>
            <w:r w:rsidDel="00000000" w:rsidR="00000000" w:rsidRPr="00000000">
              <w:rPr>
                <w:rtl w:val="0"/>
              </w:rPr>
            </w:r>
          </w:p>
          <w:p w:rsidR="00000000" w:rsidDel="00000000" w:rsidP="00000000" w:rsidRDefault="00000000" w:rsidRPr="00000000" w14:paraId="0000000C">
            <w:pPr>
              <w:spacing w:after="0" w:lineRule="auto"/>
              <w:ind w:left="0" w:firstLine="0"/>
              <w:rPr/>
            </w:pPr>
            <w:r w:rsidDel="00000000" w:rsidR="00000000" w:rsidRPr="00000000">
              <w:rPr>
                <w:rtl w:val="0"/>
              </w:rPr>
              <w:t xml:space="preserve">A HVCA és a Start-up Hungary a jelen minta dokumentumot egy olyan “konyha-kész” mintaként igyekezett ajánlani, amelyben a zárójeles kitöltendő mezők kitöltésén, valamint az alkalmazott árazási illetve más tranzakciós forma szempontjából nem releváns rendelkezések törlésén kívül, pl. </w:t>
            </w:r>
            <w:r w:rsidDel="00000000" w:rsidR="00000000" w:rsidRPr="00000000">
              <w:rPr>
                <w:highlight w:val="green"/>
                <w:rtl w:val="0"/>
              </w:rPr>
              <w:t xml:space="preserve">Post-Money Értékelési Plafon</w:t>
            </w:r>
            <w:r w:rsidDel="00000000" w:rsidR="00000000" w:rsidRPr="00000000">
              <w:rPr>
                <w:rtl w:val="0"/>
              </w:rPr>
              <w:t xml:space="preserve">, </w:t>
            </w:r>
            <w:r w:rsidDel="00000000" w:rsidR="00000000" w:rsidRPr="00000000">
              <w:rPr>
                <w:highlight w:val="cyan"/>
                <w:rtl w:val="0"/>
              </w:rPr>
              <w:t xml:space="preserve">Diszkont</w:t>
            </w:r>
            <w:r w:rsidDel="00000000" w:rsidR="00000000" w:rsidRPr="00000000">
              <w:rPr>
                <w:rtl w:val="0"/>
              </w:rPr>
              <w:t xml:space="preserve">, </w:t>
            </w:r>
            <w:r w:rsidDel="00000000" w:rsidR="00000000" w:rsidRPr="00000000">
              <w:rPr>
                <w:shd w:fill="ff9900" w:val="clear"/>
                <w:rtl w:val="0"/>
              </w:rPr>
              <w:t xml:space="preserve">Legnagyobb Kedvezmény Biztosítása jogosító feltételek (MFN) klauzúlák</w:t>
            </w:r>
            <w:r w:rsidDel="00000000" w:rsidR="00000000" w:rsidRPr="00000000">
              <w:rPr>
                <w:rtl w:val="0"/>
              </w:rPr>
              <w:t xml:space="preserve">, egyik félnek sem szükséges módosítani a mintadokumentumot, ennek ellenére javasoljuk gyakorlott start-up tanácsadók bevonását a kivánt tranzakciós struktúra elérésére. </w:t>
            </w:r>
          </w:p>
        </w:tc>
        <w:tc>
          <w:tcPr/>
          <w:p w:rsidR="00000000" w:rsidDel="00000000" w:rsidP="00000000" w:rsidRDefault="00000000" w:rsidRPr="00000000" w14:paraId="0000000D">
            <w:pPr>
              <w:spacing w:after="0" w:lineRule="auto"/>
              <w:ind w:left="0" w:firstLine="0"/>
              <w:rPr/>
            </w:pPr>
            <w:r w:rsidDel="00000000" w:rsidR="00000000" w:rsidRPr="00000000">
              <w:rPr>
                <w:rtl w:val="0"/>
              </w:rPr>
              <w:t xml:space="preserve">This Safe has not been disseminated or approved in any way by Y Combinator Management LLC or any of its affiliates. This Safe has been drafted based on one of the forms available at </w:t>
            </w:r>
            <w:hyperlink r:id="rId9">
              <w:r w:rsidDel="00000000" w:rsidR="00000000" w:rsidRPr="00000000">
                <w:rPr>
                  <w:color w:val="0563c1"/>
                  <w:u w:val="single"/>
                  <w:rtl w:val="0"/>
                </w:rPr>
                <w:t xml:space="preserve">http://ycombinator.com/documents</w:t>
              </w:r>
            </w:hyperlink>
            <w:r w:rsidDel="00000000" w:rsidR="00000000" w:rsidRPr="00000000">
              <w:rPr>
                <w:rtl w:val="0"/>
              </w:rPr>
              <w:t xml:space="preserve">, but it has been modified to take into consideration the laws of Hungary. This Safe is the joint recommendation of HVCA and Startup Hungary and available [___________websites]. </w:t>
            </w:r>
          </w:p>
          <w:p w:rsidR="00000000" w:rsidDel="00000000" w:rsidP="00000000" w:rsidRDefault="00000000" w:rsidRPr="00000000" w14:paraId="0000000E">
            <w:pPr>
              <w:spacing w:after="0" w:lineRule="auto"/>
              <w:ind w:left="0" w:firstLine="0"/>
              <w:rPr/>
            </w:pPr>
            <w:r w:rsidDel="00000000" w:rsidR="00000000" w:rsidRPr="00000000">
              <w:rPr>
                <w:rtl w:val="0"/>
              </w:rPr>
            </w:r>
          </w:p>
          <w:p w:rsidR="00000000" w:rsidDel="00000000" w:rsidP="00000000" w:rsidRDefault="00000000" w:rsidRPr="00000000" w14:paraId="0000000F">
            <w:pPr>
              <w:spacing w:after="0" w:lineRule="auto"/>
              <w:ind w:left="0" w:firstLine="0"/>
              <w:rPr/>
            </w:pPr>
            <w:r w:rsidDel="00000000" w:rsidR="00000000" w:rsidRPr="00000000">
              <w:rPr>
                <w:rtl w:val="0"/>
              </w:rPr>
            </w:r>
          </w:p>
          <w:p w:rsidR="00000000" w:rsidDel="00000000" w:rsidP="00000000" w:rsidRDefault="00000000" w:rsidRPr="00000000" w14:paraId="00000010">
            <w:pPr>
              <w:spacing w:after="0" w:lineRule="auto"/>
              <w:ind w:left="0" w:firstLine="0"/>
              <w:rPr/>
            </w:pPr>
            <w:r w:rsidDel="00000000" w:rsidR="00000000" w:rsidRPr="00000000">
              <w:rPr>
                <w:rtl w:val="0"/>
              </w:rPr>
            </w:r>
          </w:p>
          <w:p w:rsidR="00000000" w:rsidDel="00000000" w:rsidP="00000000" w:rsidRDefault="00000000" w:rsidRPr="00000000" w14:paraId="00000011">
            <w:pPr>
              <w:spacing w:after="0" w:lineRule="auto"/>
              <w:ind w:left="0" w:firstLine="0"/>
              <w:rPr/>
            </w:pPr>
            <w:r w:rsidDel="00000000" w:rsidR="00000000" w:rsidRPr="00000000">
              <w:rPr>
                <w:rtl w:val="0"/>
              </w:rPr>
            </w:r>
          </w:p>
          <w:p w:rsidR="00000000" w:rsidDel="00000000" w:rsidP="00000000" w:rsidRDefault="00000000" w:rsidRPr="00000000" w14:paraId="00000012">
            <w:pPr>
              <w:spacing w:after="0" w:lineRule="auto"/>
              <w:ind w:left="0" w:firstLine="0"/>
              <w:rPr/>
            </w:pPr>
            <w:r w:rsidDel="00000000" w:rsidR="00000000" w:rsidRPr="00000000">
              <w:rPr>
                <w:rtl w:val="0"/>
              </w:rPr>
              <w:t xml:space="preserve">HVCA and Startup Hungary aims to recommend this document as a “ready-to-ware” sample document where, except to fill in blanks and bracketed terms and delete the irrelevant terms of the non applicable model version, i.e. </w:t>
            </w:r>
            <w:r w:rsidDel="00000000" w:rsidR="00000000" w:rsidRPr="00000000">
              <w:rPr>
                <w:highlight w:val="green"/>
                <w:rtl w:val="0"/>
              </w:rPr>
              <w:t xml:space="preserve">Post-Money Valuation Cap</w:t>
            </w:r>
            <w:r w:rsidDel="00000000" w:rsidR="00000000" w:rsidRPr="00000000">
              <w:rPr>
                <w:rtl w:val="0"/>
              </w:rPr>
              <w:t xml:space="preserve"> and/or </w:t>
            </w:r>
            <w:r w:rsidDel="00000000" w:rsidR="00000000" w:rsidRPr="00000000">
              <w:rPr>
                <w:highlight w:val="cyan"/>
                <w:rtl w:val="0"/>
              </w:rPr>
              <w:t xml:space="preserve">Discount </w:t>
            </w:r>
            <w:r w:rsidDel="00000000" w:rsidR="00000000" w:rsidRPr="00000000">
              <w:rPr>
                <w:rtl w:val="0"/>
              </w:rPr>
              <w:t xml:space="preserve">and/or </w:t>
            </w:r>
            <w:r w:rsidDel="00000000" w:rsidR="00000000" w:rsidRPr="00000000">
              <w:rPr>
                <w:shd w:fill="ff9900" w:val="clear"/>
                <w:rtl w:val="0"/>
              </w:rPr>
              <w:t xml:space="preserve">Most Favoured Nations</w:t>
            </w:r>
            <w:r w:rsidDel="00000000" w:rsidR="00000000" w:rsidRPr="00000000">
              <w:rPr>
                <w:rtl w:val="0"/>
              </w:rPr>
              <w:t xml:space="preserve"> clauses, no other action is required, however, it is always recommended to consult experienced start-up consultants to achieve the demanded transaction format.</w:t>
            </w:r>
          </w:p>
        </w:tc>
      </w:tr>
      <w:tr>
        <w:trPr>
          <w:cantSplit w:val="0"/>
          <w:tblHeader w:val="0"/>
        </w:trPr>
        <w:tc>
          <w:tcPr/>
          <w:p w:rsidR="00000000" w:rsidDel="00000000" w:rsidP="00000000" w:rsidRDefault="00000000" w:rsidRPr="00000000" w14:paraId="00000013">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 w:right="0" w:firstLine="8"/>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Események</w:t>
            </w:r>
          </w:p>
        </w:tc>
        <w:tc>
          <w:tcPr/>
          <w:p w:rsidR="00000000" w:rsidDel="00000000" w:rsidP="00000000" w:rsidRDefault="00000000" w:rsidRPr="00000000" w14:paraId="00000014">
            <w:pPr>
              <w:spacing w:after="0" w:lineRule="auto"/>
              <w:ind w:left="0" w:firstLine="0"/>
              <w:rPr>
                <w:b w:val="1"/>
                <w:bCs w:val="1"/>
              </w:rPr>
            </w:pPr>
            <w:r w:rsidDel="00000000" w:rsidR="00000000" w:rsidRPr="00000000">
              <w:rPr>
                <w:b w:val="1"/>
                <w:bCs w:val="1"/>
                <w:rtl w:val="0"/>
              </w:rPr>
              <w:t xml:space="preserve">1.</w:t>
              <w:tab/>
              <w:t xml:space="preserve">Events</w:t>
            </w:r>
          </w:p>
        </w:tc>
      </w:tr>
      <w:tr>
        <w:trPr>
          <w:cantSplit w:val="0"/>
          <w:tblHeader w:val="0"/>
        </w:trPr>
        <w:tc>
          <w:tcPr/>
          <w:p w:rsidR="00000000" w:rsidDel="00000000" w:rsidP="00000000" w:rsidRDefault="00000000" w:rsidRPr="00000000" w14:paraId="00000015">
            <w:pPr>
              <w:keepLines w:val="1"/>
              <w:spacing w:after="0" w:lineRule="auto"/>
              <w:ind w:firstLine="720"/>
              <w:rPr/>
            </w:pPr>
            <w:r w:rsidDel="00000000" w:rsidR="00000000" w:rsidRPr="00000000">
              <w:rPr>
                <w:color w:val="000000"/>
                <w:rtl w:val="0"/>
              </w:rPr>
              <w:t xml:space="preserve">1.1</w:t>
            </w:r>
            <w:r w:rsidDel="00000000" w:rsidR="00000000" w:rsidRPr="00000000">
              <w:rPr>
                <w:rtl w:val="0"/>
              </w:rPr>
              <w:tab/>
            </w:r>
            <w:r w:rsidDel="00000000" w:rsidR="00000000" w:rsidRPr="00000000">
              <w:rPr>
                <w:b w:val="1"/>
                <w:bCs w:val="1"/>
                <w:color w:val="000000"/>
                <w:rtl w:val="0"/>
              </w:rPr>
              <w:t xml:space="preserve">Tőkebevonás</w:t>
            </w:r>
            <w:r w:rsidDel="00000000" w:rsidR="00000000" w:rsidRPr="00000000">
              <w:rPr>
                <w:b w:val="1"/>
                <w:bCs w:val="1"/>
                <w:rtl w:val="0"/>
              </w:rPr>
              <w:t xml:space="preserve"> </w:t>
            </w:r>
            <w:r w:rsidDel="00000000" w:rsidR="00000000" w:rsidRPr="00000000">
              <w:rPr>
                <w:rtl w:val="0"/>
              </w:rPr>
            </w:r>
          </w:p>
        </w:tc>
        <w:tc>
          <w:tcPr/>
          <w:p w:rsidR="00000000" w:rsidDel="00000000" w:rsidP="00000000" w:rsidRDefault="00000000" w:rsidRPr="00000000" w14:paraId="00000016">
            <w:pPr>
              <w:spacing w:after="0" w:lineRule="auto"/>
              <w:ind w:left="0" w:firstLine="0"/>
              <w:rPr/>
            </w:pPr>
            <w:r w:rsidDel="00000000" w:rsidR="00000000" w:rsidRPr="00000000">
              <w:rPr>
                <w:rtl w:val="0"/>
              </w:rPr>
              <w:t xml:space="preserve">1.1</w:t>
              <w:tab/>
            </w:r>
            <w:r w:rsidDel="00000000" w:rsidR="00000000" w:rsidRPr="00000000">
              <w:rPr>
                <w:b w:val="1"/>
                <w:bCs w:val="1"/>
                <w:rtl w:val="0"/>
              </w:rPr>
              <w:t xml:space="preserve">Equity Financing</w:t>
            </w:r>
            <w:r w:rsidDel="00000000" w:rsidR="00000000" w:rsidRPr="00000000">
              <w:rPr>
                <w:rtl w:val="0"/>
              </w:rPr>
            </w:r>
          </w:p>
        </w:tc>
      </w:tr>
      <w:tr>
        <w:trPr>
          <w:cantSplit w:val="0"/>
          <w:tblHeader w:val="0"/>
        </w:trPr>
        <w:tc>
          <w:tcPr/>
          <w:p w:rsidR="00000000" w:rsidDel="00000000" w:rsidP="00000000" w:rsidRDefault="00000000" w:rsidRPr="00000000" w14:paraId="00000017">
            <w:pPr>
              <w:spacing w:after="0" w:lineRule="auto"/>
              <w:ind w:left="-8" w:firstLine="0"/>
              <w:rPr/>
            </w:pPr>
            <w:r w:rsidDel="00000000" w:rsidR="00000000" w:rsidRPr="00000000">
              <w:rPr>
                <w:rtl w:val="0"/>
              </w:rPr>
              <w:t xml:space="preserve">Amennyiben a jelen SAFE megszűnésére Tőkebevonás keretében kerül sor, az első tőkebevonási kör zárásakor a jelen SAFE a Vételár és a Konvertálási ár hányadosának megfelelő SAFE</w:t>
            </w:r>
            <w:r w:rsidDel="00000000" w:rsidR="00000000" w:rsidRPr="00000000">
              <w:rPr>
                <w:rtl w:val="0"/>
              </w:rPr>
              <w:t xml:space="preserve"> részesedésre kerül konvertálásra. A Magyarországon hatályos jogszabályi rendelkezéseknek megfelelő konvertálás elősegítése érdekében a Felek megállapodnak, hogy amikor a Társaság társasági határozatot hoz a SAFE Részesedésre jogosult Befektetők részére történő kibocsátásáról, a Befektetőkre úgy kell tekinteni: </w:t>
            </w:r>
          </w:p>
          <w:p w:rsidR="00000000" w:rsidDel="00000000" w:rsidP="00000000" w:rsidRDefault="00000000" w:rsidRPr="00000000" w14:paraId="00000018">
            <w:pPr>
              <w:spacing w:after="0" w:lineRule="auto"/>
              <w:ind w:left="-8" w:firstLine="0"/>
              <w:rPr/>
            </w:pPr>
            <w:r w:rsidDel="00000000" w:rsidR="00000000" w:rsidRPr="00000000">
              <w:rPr>
                <w:rtl w:val="0"/>
              </w:rPr>
            </w:r>
          </w:p>
          <w:p w:rsidR="00000000" w:rsidDel="00000000" w:rsidP="00000000" w:rsidRDefault="00000000" w:rsidRPr="00000000" w14:paraId="00000019">
            <w:pPr>
              <w:spacing w:after="0" w:lineRule="auto"/>
              <w:ind w:left="-8" w:firstLine="0"/>
              <w:rPr/>
            </w:pPr>
            <w:r w:rsidDel="00000000" w:rsidR="00000000" w:rsidRPr="00000000">
              <w:rPr>
                <w:rtl w:val="0"/>
              </w:rPr>
              <w:t xml:space="preserve">(i) mintha a Befektető a Vételárral megegyező összesített jegyzési áron jegyezte volna a részesedéseket pénz ellenében; és</w:t>
            </w:r>
          </w:p>
          <w:p w:rsidR="00000000" w:rsidDel="00000000" w:rsidP="00000000" w:rsidRDefault="00000000" w:rsidRPr="00000000" w14:paraId="0000001A">
            <w:pPr>
              <w:spacing w:after="0" w:lineRule="auto"/>
              <w:ind w:left="-8" w:firstLine="0"/>
              <w:rPr/>
            </w:pPr>
            <w:r w:rsidDel="00000000" w:rsidR="00000000" w:rsidRPr="00000000">
              <w:rPr>
                <w:rtl w:val="0"/>
              </w:rPr>
            </w:r>
          </w:p>
          <w:p w:rsidR="00000000" w:rsidDel="00000000" w:rsidP="00000000" w:rsidRDefault="00000000" w:rsidRPr="00000000" w14:paraId="0000001B">
            <w:pPr>
              <w:spacing w:after="0" w:lineRule="auto"/>
              <w:ind w:left="-8" w:firstLine="0"/>
              <w:rPr/>
            </w:pPr>
            <w:r w:rsidDel="00000000" w:rsidR="00000000" w:rsidRPr="00000000">
              <w:rPr>
                <w:rtl w:val="0"/>
              </w:rPr>
              <w:t xml:space="preserve">A Társaság kérésére a Befektető köteles aláírni és rendelkezésre bocsátani minden olyan dokumentumot, amely szükséges a fenti pénzbeni hozzájárulás teljesítésének igazolásához. </w:t>
            </w:r>
          </w:p>
        </w:tc>
        <w:tc>
          <w:tcPr/>
          <w:p w:rsidR="00000000" w:rsidDel="00000000" w:rsidP="00000000" w:rsidRDefault="00000000" w:rsidRPr="00000000" w14:paraId="0000001C">
            <w:pPr>
              <w:spacing w:after="0" w:lineRule="auto"/>
              <w:ind w:left="0" w:firstLine="0"/>
              <w:rPr/>
            </w:pPr>
            <w:r w:rsidDel="00000000" w:rsidR="00000000" w:rsidRPr="00000000">
              <w:rPr>
                <w:rtl w:val="0"/>
              </w:rPr>
              <w:t xml:space="preserve">If there is an Equity Financing before the termination of this Safe, on the initial closing of such Equity Financing, this Safe will be converted into the number of shares of Safe Preferred Stock equal to the Purchase Amount divided by the Conversion Price. To facilitate such conversion under Hungarian law it is hereby agreed that, as of the adoption of the Company’s corporate resolution to issue the aforementioned shares of Safe Preferred Stock to the Investor </w:t>
            </w:r>
          </w:p>
          <w:p w:rsidR="00000000" w:rsidDel="00000000" w:rsidP="00000000" w:rsidRDefault="00000000" w:rsidRPr="00000000" w14:paraId="0000001D">
            <w:pPr>
              <w:spacing w:after="0" w:lineRule="auto"/>
              <w:ind w:left="0" w:firstLine="0"/>
              <w:rPr/>
            </w:pPr>
            <w:r w:rsidDel="00000000" w:rsidR="00000000" w:rsidRPr="00000000">
              <w:rPr>
                <w:rtl w:val="0"/>
              </w:rPr>
            </w:r>
          </w:p>
          <w:p w:rsidR="00000000" w:rsidDel="00000000" w:rsidP="00000000" w:rsidRDefault="00000000" w:rsidRPr="00000000" w14:paraId="0000001E">
            <w:pPr>
              <w:spacing w:after="0" w:lineRule="auto"/>
              <w:ind w:left="0" w:firstLine="0"/>
              <w:rPr/>
            </w:pPr>
            <w:r w:rsidDel="00000000" w:rsidR="00000000" w:rsidRPr="00000000">
              <w:rPr>
                <w:rtl w:val="0"/>
              </w:rPr>
            </w:r>
          </w:p>
          <w:p w:rsidR="00000000" w:rsidDel="00000000" w:rsidP="00000000" w:rsidRDefault="00000000" w:rsidRPr="00000000" w14:paraId="0000001F">
            <w:pPr>
              <w:spacing w:after="0" w:lineRule="auto"/>
              <w:ind w:left="0" w:firstLine="0"/>
              <w:rPr/>
            </w:pPr>
            <w:r w:rsidDel="00000000" w:rsidR="00000000" w:rsidRPr="00000000">
              <w:rPr>
                <w:rtl w:val="0"/>
              </w:rPr>
              <w:t xml:space="preserve">(i) the Investor is deemed to have subscribed for such shares at the aggregate subscription price equal to the Purchase Amount as cash consideration.</w:t>
            </w:r>
            <w:r w:rsidDel="00000000" w:rsidR="00000000" w:rsidRPr="00000000">
              <w:rPr>
                <w:vertAlign w:val="superscript"/>
              </w:rPr>
              <w:footnoteReference w:customMarkFollows="0" w:id="2"/>
            </w:r>
            <w:r w:rsidDel="00000000" w:rsidR="00000000" w:rsidRPr="00000000">
              <w:rPr>
                <w:rtl w:val="0"/>
              </w:rPr>
              <w:t xml:space="preserve"> </w:t>
            </w:r>
          </w:p>
          <w:p w:rsidR="00000000" w:rsidDel="00000000" w:rsidP="00000000" w:rsidRDefault="00000000" w:rsidRPr="00000000" w14:paraId="00000020">
            <w:pPr>
              <w:spacing w:after="0" w:lineRule="auto"/>
              <w:ind w:left="0" w:firstLine="0"/>
              <w:rPr/>
            </w:pPr>
            <w:r w:rsidDel="00000000" w:rsidR="00000000" w:rsidRPr="00000000">
              <w:rPr>
                <w:rtl w:val="0"/>
              </w:rPr>
            </w:r>
          </w:p>
          <w:p w:rsidR="00000000" w:rsidDel="00000000" w:rsidP="00000000" w:rsidRDefault="00000000" w:rsidRPr="00000000" w14:paraId="00000021">
            <w:pPr>
              <w:spacing w:after="0" w:lineRule="auto"/>
              <w:ind w:left="0" w:firstLine="0"/>
              <w:rPr/>
            </w:pPr>
            <w:r w:rsidDel="00000000" w:rsidR="00000000" w:rsidRPr="00000000">
              <w:rPr>
                <w:rtl w:val="0"/>
              </w:rPr>
              <w:t xml:space="preserve">At the Company’s request the Investor will execute and deliver to the Company all documents necessary to complete and/or evidence such transfer of cash contribution.</w:t>
            </w:r>
          </w:p>
        </w:tc>
      </w:tr>
      <w:tr>
        <w:trPr>
          <w:cantSplit w:val="0"/>
          <w:tblHeader w:val="0"/>
        </w:trPr>
        <w:tc>
          <w:tcPr/>
          <w:p w:rsidR="00000000" w:rsidDel="00000000" w:rsidP="00000000" w:rsidRDefault="00000000" w:rsidRPr="00000000" w14:paraId="00000022">
            <w:pPr>
              <w:spacing w:after="0" w:lineRule="auto"/>
              <w:ind w:left="0" w:firstLine="0"/>
              <w:rPr/>
            </w:pPr>
            <w:r w:rsidDel="00000000" w:rsidR="00000000" w:rsidRPr="00000000">
              <w:rPr>
                <w:rtl w:val="0"/>
              </w:rPr>
              <w:t xml:space="preserve">A jelen SAFE jogoknak a  SAFE Részesedésekre konvertálásával összefüggésben a Befektető köteles aláírni és a Társaság részére megküldeni a tőkebevonáshoz kapcsolódó valamennyi tranzakciós dokumentumot; azzal a feltétellel, hogy ezen dokumentumok (i) a SAFE Részesedésekre vonatkozó előnyöktől, ha vannak ilyenek, eltekintve megegyeznek azokkal a dokumentumokkal, amelyeket a Társaság a Tőkebevonáskor a többi Befektetőnek biztosít,  és (ii) tartalmazzák a Befektetőre vonatkozó „Együttértékesítési kötelezettségek” (Drag-along jogok) rendelkezés alóli szokásos piaci gyakorlatnak megfelelő kivételeket, ideértve – a teljesség igénye nélkül – a Befektető korlátozott nyilatkozattételi, szavatossági, felelősségi és kártalanítási kötelezettségeit.</w:t>
            </w:r>
          </w:p>
        </w:tc>
        <w:tc>
          <w:tcPr/>
          <w:p w:rsidR="00000000" w:rsidDel="00000000" w:rsidP="00000000" w:rsidRDefault="00000000" w:rsidRPr="00000000" w14:paraId="00000023">
            <w:pPr>
              <w:spacing w:after="0" w:lineRule="auto"/>
              <w:ind w:left="0" w:firstLine="0"/>
              <w:rPr/>
            </w:pPr>
            <w:r w:rsidDel="00000000" w:rsidR="00000000" w:rsidRPr="00000000">
              <w:rPr>
                <w:rtl w:val="0"/>
              </w:rPr>
              <w:t xml:space="preserve">In connection with the conversion of this Safe into shares of Safe Preferred Stock, the Investor will execute and deliver to the Company all of the transaction documents related to the Equity Financing; provided, that such documents (i) are the same documents to be entered into with the purchasers or subscribers of Standard Preferred Stock, with appropriate variations for the Safe Preferred Stock if applicable, and (ii) have customary exceptions to any drag-along applicable to the Investor, including (without limitation) limited representations, warranties, liability and indemnification obligations for the Investor.</w:t>
            </w:r>
          </w:p>
        </w:tc>
      </w:tr>
      <w:tr>
        <w:trPr>
          <w:cantSplit w:val="0"/>
          <w:tblHeader w:val="0"/>
        </w:trPr>
        <w:tc>
          <w:tcPr/>
          <w:p w:rsidR="00000000" w:rsidDel="00000000" w:rsidP="00000000" w:rsidRDefault="00000000" w:rsidRPr="00000000" w14:paraId="00000024">
            <w:pPr>
              <w:keepLines w:val="1"/>
              <w:spacing w:after="0" w:lineRule="auto"/>
              <w:ind w:firstLine="720"/>
              <w:rPr/>
            </w:pPr>
            <w:r w:rsidDel="00000000" w:rsidR="00000000" w:rsidRPr="00000000">
              <w:rPr>
                <w:color w:val="000000"/>
                <w:rtl w:val="0"/>
              </w:rPr>
              <w:t xml:space="preserve">1.2</w:t>
            </w:r>
            <w:r w:rsidDel="00000000" w:rsidR="00000000" w:rsidRPr="00000000">
              <w:rPr>
                <w:rtl w:val="0"/>
              </w:rPr>
              <w:tab/>
            </w:r>
            <w:r w:rsidDel="00000000" w:rsidR="00000000" w:rsidRPr="00000000">
              <w:rPr>
                <w:b w:val="1"/>
                <w:bCs w:val="1"/>
                <w:color w:val="000000"/>
                <w:rtl w:val="0"/>
              </w:rPr>
              <w:t xml:space="preserve">Likviditási (Értékesítési) Esemény</w:t>
            </w: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025">
            <w:pPr>
              <w:spacing w:after="0" w:lineRule="auto"/>
              <w:ind w:left="0" w:firstLine="0"/>
              <w:rPr/>
            </w:pPr>
            <w:r w:rsidDel="00000000" w:rsidR="00000000" w:rsidRPr="00000000">
              <w:rPr>
                <w:rtl w:val="0"/>
              </w:rPr>
              <w:t xml:space="preserve">1.2</w:t>
              <w:tab/>
            </w:r>
            <w:r w:rsidDel="00000000" w:rsidR="00000000" w:rsidRPr="00000000">
              <w:rPr>
                <w:b w:val="1"/>
                <w:bCs w:val="1"/>
                <w:rtl w:val="0"/>
              </w:rPr>
              <w:t xml:space="preserve">Liquidity Event</w:t>
            </w:r>
            <w:r w:rsidDel="00000000" w:rsidR="00000000" w:rsidRPr="00000000">
              <w:rPr>
                <w:rtl w:val="0"/>
              </w:rPr>
            </w:r>
          </w:p>
        </w:tc>
      </w:tr>
      <w:tr>
        <w:trPr>
          <w:cantSplit w:val="0"/>
          <w:tblHeader w:val="0"/>
        </w:trPr>
        <w:tc>
          <w:tcPr/>
          <w:p w:rsidR="00000000" w:rsidDel="00000000" w:rsidP="00000000" w:rsidRDefault="00000000" w:rsidRPr="00000000" w14:paraId="00000026">
            <w:pPr>
              <w:spacing w:after="0" w:lineRule="auto"/>
              <w:ind w:left="0" w:firstLine="0"/>
              <w:rPr/>
            </w:pPr>
            <w:r w:rsidDel="00000000" w:rsidR="00000000" w:rsidRPr="00000000">
              <w:rPr>
                <w:rtl w:val="0"/>
              </w:rPr>
              <w:t xml:space="preserve">Amennyiben a jelen SAFE megszűnése Likviditási Esemény bekövetkezése miatt kerül sor, a Befektető automatikusan jogosult (az 1.4 ) pontban meghatározott likviditási elsőbbség </w:t>
            </w:r>
            <w:r w:rsidDel="00000000" w:rsidR="00000000" w:rsidRPr="00000000">
              <w:rPr>
                <w:shd w:fill="ff9900" w:val="clear"/>
                <w:rtl w:val="0"/>
              </w:rPr>
              <w:t xml:space="preserve">[és az 5.3. pontban foglalt Legnagyobb Kedvezmény Biztosítására jogosító feltételek záradék (MFN) klauzúla]</w:t>
            </w:r>
            <w:r w:rsidDel="00000000" w:rsidR="00000000" w:rsidRPr="00000000">
              <w:rPr>
                <w:rtl w:val="0"/>
              </w:rPr>
              <w:t xml:space="preserve"> figyelembevételével), a Likviditási Esemény zárását megelőzően vagy azzal egyidejűleg, a Befektető részére esedékes megtérülésre. A megtérülés számításakor a következő két összeg közül a befektető számára kedvezőbb összeg tekintendő irányadónak: (i) a Vételár („</w:t>
            </w:r>
            <w:r w:rsidDel="00000000" w:rsidR="00000000" w:rsidRPr="00000000">
              <w:rPr>
                <w:b w:val="1"/>
                <w:bCs w:val="1"/>
                <w:rtl w:val="0"/>
              </w:rPr>
              <w:t xml:space="preserve">Cash-Out összeg</w:t>
            </w:r>
            <w:r w:rsidDel="00000000" w:rsidR="00000000" w:rsidRPr="00000000">
              <w:rPr>
                <w:rtl w:val="0"/>
              </w:rPr>
              <w:t xml:space="preserve">”), vagy (ii) azon összeg, amely a Vételár és a Likviditási Ár hányadosa alapján meghatározott számú részesedés után esedékes („</w:t>
            </w:r>
            <w:r w:rsidDel="00000000" w:rsidR="00000000" w:rsidRPr="00000000">
              <w:rPr>
                <w:b w:val="1"/>
                <w:bCs w:val="1"/>
                <w:rtl w:val="0"/>
              </w:rPr>
              <w:t xml:space="preserve">Konvertálási Összeg</w:t>
            </w:r>
            <w:r w:rsidDel="00000000" w:rsidR="00000000" w:rsidRPr="00000000">
              <w:rPr>
                <w:rtl w:val="0"/>
              </w:rPr>
              <w:t xml:space="preserve">”). Amennyiben a Társaság bármely tőkerészesedés tulajdonosának választási lehetőséget biztosít a Likviditási Eseményből származó bevétel formáját vagy összegét illetően, a Befektető számára is azonos választási lehetőséget kell biztosítani, azzal a kikötéssel, hogy a Befektető nem választhat olyan formát, amelyre a Társaság tőkerészesedés tulajdonosaira általában alkalmazandó követelmények vagy korlátozások, illetve bármely vonatkozó jogszabály be nem tartása miatt nem lenne jogosult.</w:t>
            </w:r>
          </w:p>
        </w:tc>
        <w:tc>
          <w:tcPr/>
          <w:p w:rsidR="00000000" w:rsidDel="00000000" w:rsidP="00000000" w:rsidRDefault="00000000" w:rsidRPr="00000000" w14:paraId="00000027">
            <w:pPr>
              <w:spacing w:after="0" w:lineRule="auto"/>
              <w:ind w:left="0" w:firstLine="0"/>
              <w:rPr/>
            </w:pPr>
            <w:r w:rsidDel="00000000" w:rsidR="00000000" w:rsidRPr="00000000">
              <w:rPr>
                <w:rtl w:val="0"/>
              </w:rPr>
              <w:t xml:space="preserve">If there is a Liquidity Event before the termination of this Safe, the Investor will automatically be entitled (subject to the liquidation priority set forth in Section 1.4 below</w:t>
            </w:r>
            <w:r w:rsidDel="00000000" w:rsidR="00000000" w:rsidRPr="00000000">
              <w:rPr>
                <w:shd w:fill="ff9900" w:val="clear"/>
                <w:rtl w:val="0"/>
              </w:rPr>
              <w:t xml:space="preserve"> [and the MFN Amendment Provision in Section 5.3 below]</w:t>
            </w:r>
            <w:r w:rsidDel="00000000" w:rsidR="00000000" w:rsidRPr="00000000">
              <w:rPr>
                <w:shd w:fill="ff9900" w:val="clear"/>
                <w:vertAlign w:val="superscript"/>
              </w:rPr>
              <w:footnoteReference w:customMarkFollows="0" w:id="3"/>
            </w:r>
            <w:r w:rsidDel="00000000" w:rsidR="00000000" w:rsidRPr="00000000">
              <w:rPr>
                <w:shd w:fill="ff9900" w:val="clear"/>
                <w:rtl w:val="0"/>
              </w:rPr>
              <w:t xml:space="preserve"> )</w:t>
            </w:r>
            <w:r w:rsidDel="00000000" w:rsidR="00000000" w:rsidRPr="00000000">
              <w:rPr>
                <w:rtl w:val="0"/>
              </w:rPr>
              <w:t xml:space="preserve"> to receive a portion of Proceeds, due and payable to the Investor immediately prior to, or concurrent with, the consummation of such Liquidity Event, equal to the greater of (i) the Purchase Amount (the “</w:t>
            </w:r>
            <w:r w:rsidDel="00000000" w:rsidR="00000000" w:rsidRPr="00000000">
              <w:rPr>
                <w:b w:val="1"/>
                <w:bCs w:val="1"/>
                <w:rtl w:val="0"/>
              </w:rPr>
              <w:t xml:space="preserve">Cash-Out Amount</w:t>
            </w:r>
            <w:r w:rsidDel="00000000" w:rsidR="00000000" w:rsidRPr="00000000">
              <w:rPr>
                <w:rtl w:val="0"/>
              </w:rPr>
              <w:t xml:space="preserve">”) or (ii) the amount payable on the number of shares of Common Stock equal to the Purchase Amount divided by the Liquidity Price (the “</w:t>
            </w:r>
            <w:r w:rsidDel="00000000" w:rsidR="00000000" w:rsidRPr="00000000">
              <w:rPr>
                <w:b w:val="1"/>
                <w:bCs w:val="1"/>
                <w:rtl w:val="0"/>
              </w:rPr>
              <w:t xml:space="preserve">Conversion Amount</w:t>
            </w:r>
            <w:r w:rsidDel="00000000" w:rsidR="00000000" w:rsidRPr="00000000">
              <w:rPr>
                <w:rtl w:val="0"/>
              </w:rPr>
              <w:t xml:space="preserve">”).  If any of the Company’s securityholders are given a choice as to the form and amount of Proceeds to be received in a Liquidity Event, the Investor will be given the same choice, provided that the Investor may not choose to receive a form of consideration that the Investor would be ineligible to receive as a result of the Investor’s failure to satisfy any requirement or limitation generally applicable to the Company’s securityholders, or under any applicable laws.</w:t>
            </w:r>
          </w:p>
        </w:tc>
      </w:tr>
      <w:tr>
        <w:trPr>
          <w:cantSplit w:val="0"/>
          <w:tblHeader w:val="0"/>
        </w:trPr>
        <w:tc>
          <w:tcPr/>
          <w:p w:rsidR="00000000" w:rsidDel="00000000" w:rsidP="00000000" w:rsidRDefault="00000000" w:rsidRPr="00000000" w14:paraId="00000028">
            <w:pPr>
              <w:keepLines w:val="1"/>
              <w:spacing w:after="0" w:lineRule="auto"/>
              <w:ind w:firstLine="720"/>
              <w:rPr/>
            </w:pPr>
            <w:r w:rsidDel="00000000" w:rsidR="00000000" w:rsidRPr="00000000">
              <w:rPr>
                <w:color w:val="000000"/>
                <w:rtl w:val="0"/>
              </w:rPr>
              <w:t xml:space="preserve">1.3</w:t>
            </w:r>
            <w:r w:rsidDel="00000000" w:rsidR="00000000" w:rsidRPr="00000000">
              <w:rPr>
                <w:rtl w:val="0"/>
              </w:rPr>
              <w:tab/>
            </w:r>
            <w:r w:rsidDel="00000000" w:rsidR="00000000" w:rsidRPr="00000000">
              <w:rPr>
                <w:b w:val="1"/>
                <w:bCs w:val="1"/>
                <w:color w:val="000000"/>
                <w:rtl w:val="0"/>
              </w:rPr>
              <w:t xml:space="preserve">Megszűnési Esemény</w:t>
            </w: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029">
            <w:pPr>
              <w:spacing w:after="0" w:lineRule="auto"/>
              <w:ind w:left="0" w:firstLine="0"/>
              <w:rPr/>
            </w:pPr>
            <w:r w:rsidDel="00000000" w:rsidR="00000000" w:rsidRPr="00000000">
              <w:rPr>
                <w:rtl w:val="0"/>
              </w:rPr>
              <w:t xml:space="preserve">1.3</w:t>
              <w:tab/>
            </w:r>
            <w:r w:rsidDel="00000000" w:rsidR="00000000" w:rsidRPr="00000000">
              <w:rPr>
                <w:b w:val="1"/>
                <w:bCs w:val="1"/>
                <w:rtl w:val="0"/>
              </w:rPr>
              <w:t xml:space="preserve">Dissolution Event</w:t>
            </w:r>
            <w:r w:rsidDel="00000000" w:rsidR="00000000" w:rsidRPr="00000000">
              <w:rPr>
                <w:rtl w:val="0"/>
              </w:rPr>
            </w:r>
          </w:p>
        </w:tc>
      </w:tr>
      <w:tr>
        <w:trPr>
          <w:cantSplit w:val="0"/>
          <w:tblHeader w:val="0"/>
        </w:trPr>
        <w:tc>
          <w:tcPr/>
          <w:p w:rsidR="00000000" w:rsidDel="00000000" w:rsidP="00000000" w:rsidRDefault="00000000" w:rsidRPr="00000000" w14:paraId="0000002A">
            <w:pPr>
              <w:spacing w:after="0" w:lineRule="auto"/>
              <w:ind w:left="0" w:firstLine="0"/>
              <w:rPr/>
            </w:pPr>
            <w:r w:rsidDel="00000000" w:rsidR="00000000" w:rsidRPr="00000000">
              <w:rPr>
                <w:rtl w:val="0"/>
              </w:rPr>
              <w:t xml:space="preserve">Amennyiben a jelen SAFE megszűnésére Megszűnési Esemény bekövetkezése keretében  kerül sor, a Befektető automatikusan jogosult (az 1.4 pontban meghatározott likviditási elsőbbség figyelembevételével) a rendelkezésre álló bevételből a Cash-Out Összegnek megfelelő kifizetésre, mely a Cash-Out Összeg a Megszűnési Esemény zárását megelőzően esedékes.</w:t>
            </w:r>
          </w:p>
        </w:tc>
        <w:tc>
          <w:tcPr/>
          <w:p w:rsidR="00000000" w:rsidDel="00000000" w:rsidP="00000000" w:rsidRDefault="00000000" w:rsidRPr="00000000" w14:paraId="0000002B">
            <w:pPr>
              <w:spacing w:after="0" w:lineRule="auto"/>
              <w:ind w:left="0" w:firstLine="0"/>
              <w:rPr/>
            </w:pPr>
            <w:r w:rsidDel="00000000" w:rsidR="00000000" w:rsidRPr="00000000">
              <w:rPr>
                <w:rtl w:val="0"/>
              </w:rPr>
              <w:t xml:space="preserve">If there is a Dissolution Event before the termination of this Safe, the Investor will automatically be entitled (subject to the liquidation priority set forth in Section 1.4 below) to receive a portion of Proceeds equal to the Cash-Out Amount, due and payable to the Investor immediately prior to the consummation of the Dissolution Event.</w:t>
            </w:r>
          </w:p>
        </w:tc>
      </w:tr>
      <w:tr>
        <w:trPr>
          <w:cantSplit w:val="0"/>
          <w:tblHeader w:val="0"/>
        </w:trPr>
        <w:tc>
          <w:tcPr/>
          <w:p w:rsidR="00000000" w:rsidDel="00000000" w:rsidP="00000000" w:rsidRDefault="00000000" w:rsidRPr="00000000" w14:paraId="0000002C">
            <w:pPr>
              <w:keepLines w:val="1"/>
              <w:spacing w:after="0" w:lineRule="auto"/>
              <w:ind w:firstLine="720"/>
              <w:rPr/>
            </w:pPr>
            <w:r w:rsidDel="00000000" w:rsidR="00000000" w:rsidRPr="00000000">
              <w:rPr>
                <w:color w:val="000000"/>
                <w:rtl w:val="0"/>
              </w:rPr>
              <w:t xml:space="preserve">1.4</w:t>
            </w:r>
            <w:r w:rsidDel="00000000" w:rsidR="00000000" w:rsidRPr="00000000">
              <w:rPr>
                <w:rtl w:val="0"/>
              </w:rPr>
              <w:tab/>
            </w:r>
            <w:r w:rsidDel="00000000" w:rsidR="00000000" w:rsidRPr="00000000">
              <w:rPr>
                <w:b w:val="1"/>
                <w:bCs w:val="1"/>
                <w:color w:val="000000"/>
                <w:rtl w:val="0"/>
              </w:rPr>
              <w:t xml:space="preserve">Likviditási sorrend</w:t>
            </w: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02D">
            <w:pPr>
              <w:spacing w:after="0" w:lineRule="auto"/>
              <w:ind w:left="0" w:firstLine="0"/>
              <w:rPr/>
            </w:pPr>
            <w:r w:rsidDel="00000000" w:rsidR="00000000" w:rsidRPr="00000000">
              <w:rPr>
                <w:rtl w:val="0"/>
              </w:rPr>
              <w:t xml:space="preserve">1.4</w:t>
              <w:tab/>
            </w:r>
            <w:r w:rsidDel="00000000" w:rsidR="00000000" w:rsidRPr="00000000">
              <w:rPr>
                <w:b w:val="1"/>
                <w:bCs w:val="1"/>
                <w:rtl w:val="0"/>
              </w:rPr>
              <w:t xml:space="preserve">Liquidation Priority</w:t>
            </w:r>
            <w:r w:rsidDel="00000000" w:rsidR="00000000" w:rsidRPr="00000000">
              <w:rPr>
                <w:rtl w:val="0"/>
              </w:rPr>
            </w:r>
          </w:p>
        </w:tc>
      </w:tr>
      <w:tr>
        <w:trPr>
          <w:cantSplit w:val="0"/>
          <w:tblHeader w:val="0"/>
        </w:trPr>
        <w:tc>
          <w:tcPr/>
          <w:p w:rsidR="00000000" w:rsidDel="00000000" w:rsidP="00000000" w:rsidRDefault="00000000" w:rsidRPr="00000000" w14:paraId="0000002E">
            <w:pPr>
              <w:spacing w:after="0" w:lineRule="auto"/>
              <w:ind w:left="0" w:firstLine="0"/>
              <w:rPr/>
            </w:pPr>
            <w:r w:rsidDel="00000000" w:rsidR="00000000" w:rsidRPr="00000000">
              <w:rPr>
                <w:rtl w:val="0"/>
              </w:rPr>
              <w:t xml:space="preserve">Likviditási vagy Megszűnési Esemény bekövetkezése esetén a likviditási sorrend szempontjából a jelen SAFE passzív, szavazásra nem jogosító elsőbbségi jogokat biztosító részesedésnek tekintendő. A Befektetőnek a Cash-Out Összegre vonatkozó joga:</w:t>
            </w:r>
          </w:p>
        </w:tc>
        <w:tc>
          <w:tcPr/>
          <w:p w:rsidR="00000000" w:rsidDel="00000000" w:rsidP="00000000" w:rsidRDefault="00000000" w:rsidRPr="00000000" w14:paraId="0000002F">
            <w:pPr>
              <w:spacing w:after="0" w:lineRule="auto"/>
              <w:ind w:left="0" w:firstLine="0"/>
              <w:rPr/>
            </w:pPr>
            <w:r w:rsidDel="00000000" w:rsidR="00000000" w:rsidRPr="00000000">
              <w:rPr>
                <w:rtl w:val="0"/>
              </w:rPr>
              <w:t xml:space="preserve">In a Liquidity Event or Dissolution Event, this Safe is intended to operate like standard non-participating Preferred Stock.  The Investor’s right to receive its Cash-Out Amount is:</w:t>
            </w:r>
          </w:p>
        </w:tc>
      </w:tr>
      <w:tr>
        <w:trPr>
          <w:cantSplit w:val="0"/>
          <w:tblHeader w:val="0"/>
        </w:trPr>
        <w:tc>
          <w:tcPr/>
          <w:p w:rsidR="00000000" w:rsidDel="00000000" w:rsidP="00000000" w:rsidRDefault="00000000" w:rsidRPr="00000000" w14:paraId="00000030">
            <w:pPr>
              <w:keepLines w:val="1"/>
              <w:spacing w:after="0" w:lineRule="auto"/>
              <w:ind w:firstLine="720"/>
              <w:rPr/>
            </w:pPr>
            <w:r w:rsidDel="00000000" w:rsidR="00000000" w:rsidRPr="00000000">
              <w:rPr>
                <w:rtl w:val="0"/>
              </w:rPr>
              <w:t xml:space="preserve">1.4.1.</w:t>
            </w:r>
            <w:r w:rsidDel="00000000" w:rsidR="00000000" w:rsidRPr="00000000">
              <w:rPr>
                <w:b w:val="1"/>
                <w:bCs w:val="1"/>
                <w:rtl w:val="0"/>
              </w:rPr>
              <w:t xml:space="preserve"> Rangsorban megelőzik</w:t>
            </w:r>
            <w:r w:rsidDel="00000000" w:rsidR="00000000" w:rsidRPr="00000000">
              <w:rPr>
                <w:rtl w:val="0"/>
              </w:rPr>
              <w:t xml:space="preserve"> a Társasággal szemben fennálló követelések és hitelezői igények ideértve a szerződéses fizetési kötelezettségeket és a konvertálható kötvények követelések (feltéve, hogy a konvertálható kötvény társasági részesedéssé konvertálása még nem valósult meg); </w:t>
            </w:r>
          </w:p>
        </w:tc>
        <w:tc>
          <w:tcPr/>
          <w:p w:rsidR="00000000" w:rsidDel="00000000" w:rsidP="00000000" w:rsidRDefault="00000000" w:rsidRPr="00000000" w14:paraId="00000031">
            <w:pPr>
              <w:spacing w:after="0" w:lineRule="auto"/>
              <w:ind w:left="0" w:firstLine="0"/>
              <w:rPr/>
            </w:pPr>
            <w:r w:rsidDel="00000000" w:rsidR="00000000" w:rsidRPr="00000000">
              <w:rPr>
                <w:rtl w:val="0"/>
              </w:rPr>
              <w:t xml:space="preserve">1.4.1 </w:t>
            </w:r>
            <w:r w:rsidDel="00000000" w:rsidR="00000000" w:rsidRPr="00000000">
              <w:rPr>
                <w:b w:val="1"/>
                <w:bCs w:val="1"/>
                <w:rtl w:val="0"/>
              </w:rPr>
              <w:t xml:space="preserve">Junior to payment</w:t>
            </w:r>
            <w:r w:rsidDel="00000000" w:rsidR="00000000" w:rsidRPr="00000000">
              <w:rPr>
                <w:rtl w:val="0"/>
              </w:rPr>
              <w:t xml:space="preserve"> of outstanding indebtedness and creditor claims, including contractual claims for payment and convertible promissory notes (to the extent such convertible promissory notes are not actually or notionally converted into Capital Stock);</w:t>
            </w:r>
          </w:p>
        </w:tc>
      </w:tr>
      <w:tr>
        <w:trPr>
          <w:cantSplit w:val="0"/>
          <w:tblHeader w:val="0"/>
        </w:trPr>
        <w:tc>
          <w:tcPr/>
          <w:p w:rsidR="00000000" w:rsidDel="00000000" w:rsidP="00000000" w:rsidRDefault="00000000" w:rsidRPr="00000000" w14:paraId="00000032">
            <w:pPr>
              <w:keepLines w:val="1"/>
              <w:spacing w:after="0" w:lineRule="auto"/>
              <w:ind w:firstLine="720"/>
              <w:rPr/>
            </w:pPr>
            <w:r w:rsidDel="00000000" w:rsidR="00000000" w:rsidRPr="00000000">
              <w:rPr>
                <w:rtl w:val="0"/>
              </w:rPr>
              <w:t xml:space="preserve">1.4.2.</w:t>
            </w:r>
            <w:r w:rsidDel="00000000" w:rsidR="00000000" w:rsidRPr="00000000">
              <w:rPr>
                <w:b w:val="1"/>
                <w:bCs w:val="1"/>
                <w:rtl w:val="0"/>
              </w:rPr>
              <w:t xml:space="preserve"> Rangsorban azonos helyen áll</w:t>
            </w:r>
            <w:r w:rsidDel="00000000" w:rsidR="00000000" w:rsidRPr="00000000">
              <w:rPr>
                <w:rtl w:val="0"/>
              </w:rPr>
              <w:t xml:space="preserve"> a többi SAFE és/vagy hasonló elsőbbségi jogokat biztosító részesedés után esedékes kifizetéssel. Amennyiben a rendelkezésre álló összeg nem elegendő a Befektető és az egyéb jogosultak követelésének kielégítésre, a rendelkezésre álló összeget a Befektető és az egyéb jogosultak  a teljes összegen fennálló jogosultságuk szerinti arányában kell felosztani a Befektető és az egyéb jogosultak között.</w:t>
            </w:r>
          </w:p>
        </w:tc>
        <w:tc>
          <w:tcPr/>
          <w:p w:rsidR="00000000" w:rsidDel="00000000" w:rsidP="00000000" w:rsidRDefault="00000000" w:rsidRPr="00000000" w14:paraId="00000033">
            <w:pPr>
              <w:spacing w:after="0" w:lineRule="auto"/>
              <w:ind w:left="0" w:firstLine="0"/>
              <w:rPr/>
            </w:pPr>
            <w:r w:rsidDel="00000000" w:rsidR="00000000" w:rsidRPr="00000000">
              <w:rPr>
                <w:rtl w:val="0"/>
              </w:rPr>
              <w:t xml:space="preserve">1.4.2 </w:t>
            </w:r>
            <w:r w:rsidDel="00000000" w:rsidR="00000000" w:rsidRPr="00000000">
              <w:rPr>
                <w:b w:val="1"/>
                <w:bCs w:val="1"/>
                <w:rtl w:val="0"/>
              </w:rPr>
              <w:t xml:space="preserve">On par with payments</w:t>
            </w:r>
            <w:r w:rsidDel="00000000" w:rsidR="00000000" w:rsidRPr="00000000">
              <w:rPr>
                <w:rtl w:val="0"/>
              </w:rPr>
              <w:t xml:space="preserve"> for other Safes and/or Preferred Stock, and if the applicable Proceeds are insufficient to permit full payments to the Investor and such other Safes and/or Preferred Stock, the applicable Proceeds will be distributed pro rata to the Investor and such other Safes and/or Preferred Stock in proportion to the full payments that would otherwise be due; and</w:t>
            </w:r>
          </w:p>
        </w:tc>
      </w:tr>
      <w:tr>
        <w:trPr>
          <w:cantSplit w:val="0"/>
          <w:tblHeader w:val="0"/>
        </w:trPr>
        <w:tc>
          <w:tcPr/>
          <w:p w:rsidR="00000000" w:rsidDel="00000000" w:rsidP="00000000" w:rsidRDefault="00000000" w:rsidRPr="00000000" w14:paraId="00000034">
            <w:pPr>
              <w:keepLines w:val="1"/>
              <w:spacing w:after="0" w:lineRule="auto"/>
              <w:ind w:firstLine="720"/>
              <w:rPr/>
            </w:pPr>
            <w:r w:rsidDel="00000000" w:rsidR="00000000" w:rsidRPr="00000000">
              <w:rPr>
                <w:rtl w:val="0"/>
              </w:rPr>
              <w:t xml:space="preserve">1.4.3.</w:t>
            </w:r>
            <w:r w:rsidDel="00000000" w:rsidR="00000000" w:rsidRPr="00000000">
              <w:rPr>
                <w:b w:val="1"/>
                <w:bCs w:val="1"/>
                <w:rtl w:val="0"/>
              </w:rPr>
              <w:t xml:space="preserve"> Elsőbbséget élvez</w:t>
            </w:r>
            <w:r w:rsidDel="00000000" w:rsidR="00000000" w:rsidRPr="00000000">
              <w:rPr>
                <w:rtl w:val="0"/>
              </w:rPr>
              <w:t xml:space="preserve"> a Társaság törzs részesedéseihez (üzletrész/részvény képest). A Befektető  Konverziós Összeg teljesítésének követeléséhez fűződő joga (A) egyenrangú azon részesedések, SAFE-ek és/vagy egyéb elsőbbségi részesedések után esedékes kifizetésekkel amennyiben azok összege szintén részesedésre konvertálással került meghatározásra (B) Rangsorban megelőzik a fenti 1.4.1 és az 1.4.2 pontban megállapított kötelezettségek (az utóbbi esetben, amennyiben az ilyen kifizetések Cash-Out vagy hasonló likvidációs elsőbbségnek  minősülnek)”</w:t>
            </w:r>
          </w:p>
          <w:p w:rsidR="00000000" w:rsidDel="00000000" w:rsidP="00000000" w:rsidRDefault="00000000" w:rsidRPr="00000000" w14:paraId="00000035">
            <w:pPr>
              <w:keepLines w:val="1"/>
              <w:spacing w:after="0" w:lineRule="auto"/>
              <w:ind w:firstLine="720"/>
              <w:rPr/>
            </w:pPr>
            <w:r w:rsidDel="00000000" w:rsidR="00000000" w:rsidRPr="00000000">
              <w:rPr>
                <w:rtl w:val="0"/>
              </w:rPr>
            </w:r>
          </w:p>
          <w:p w:rsidR="00000000" w:rsidDel="00000000" w:rsidP="00000000" w:rsidRDefault="00000000" w:rsidRPr="00000000" w14:paraId="00000036">
            <w:pPr>
              <w:keepLines w:val="1"/>
              <w:spacing w:after="0" w:lineRule="auto"/>
              <w:ind w:firstLine="720"/>
              <w:rPr/>
            </w:pPr>
            <w:r w:rsidDel="00000000" w:rsidR="00000000" w:rsidRPr="00000000">
              <w:rPr>
                <w:rtl w:val="0"/>
              </w:rPr>
            </w:r>
          </w:p>
          <w:p w:rsidR="00000000" w:rsidDel="00000000" w:rsidP="00000000" w:rsidRDefault="00000000" w:rsidRPr="00000000" w14:paraId="00000037">
            <w:pPr>
              <w:keepLines w:val="1"/>
              <w:spacing w:after="0" w:lineRule="auto"/>
              <w:ind w:firstLine="720"/>
              <w:rPr/>
            </w:pPr>
            <w:r w:rsidDel="00000000" w:rsidR="00000000" w:rsidRPr="00000000">
              <w:rPr>
                <w:rtl w:val="0"/>
              </w:rPr>
            </w:r>
          </w:p>
          <w:p w:rsidR="00000000" w:rsidDel="00000000" w:rsidP="00000000" w:rsidRDefault="00000000" w:rsidRPr="00000000" w14:paraId="00000038">
            <w:pPr>
              <w:keepLines w:val="1"/>
              <w:spacing w:after="0" w:lineRule="auto"/>
              <w:ind w:left="0" w:firstLine="0"/>
              <w:rPr/>
            </w:pPr>
            <w:r w:rsidDel="00000000" w:rsidR="00000000" w:rsidRPr="00000000">
              <w:rPr>
                <w:rtl w:val="0"/>
              </w:rPr>
            </w:r>
          </w:p>
        </w:tc>
        <w:tc>
          <w:tcPr/>
          <w:p w:rsidR="00000000" w:rsidDel="00000000" w:rsidP="00000000" w:rsidRDefault="00000000" w:rsidRPr="00000000" w14:paraId="00000039">
            <w:pPr>
              <w:spacing w:after="0" w:lineRule="auto"/>
              <w:ind w:left="0" w:firstLine="0"/>
              <w:rPr/>
            </w:pPr>
            <w:r w:rsidDel="00000000" w:rsidR="00000000" w:rsidRPr="00000000">
              <w:rPr>
                <w:rtl w:val="0"/>
              </w:rPr>
              <w:t xml:space="preserve">1.4.3 S</w:t>
            </w:r>
            <w:r w:rsidDel="00000000" w:rsidR="00000000" w:rsidRPr="00000000">
              <w:rPr>
                <w:b w:val="1"/>
                <w:bCs w:val="1"/>
                <w:rtl w:val="0"/>
              </w:rPr>
              <w:t xml:space="preserve">enior to payments</w:t>
            </w:r>
            <w:r w:rsidDel="00000000" w:rsidR="00000000" w:rsidRPr="00000000">
              <w:rPr>
                <w:rtl w:val="0"/>
              </w:rPr>
              <w:t xml:space="preserve"> for Common Stock.</w:t>
            </w:r>
          </w:p>
          <w:p w:rsidR="00000000" w:rsidDel="00000000" w:rsidP="00000000" w:rsidRDefault="00000000" w:rsidRPr="00000000" w14:paraId="0000003A">
            <w:pPr>
              <w:spacing w:after="0" w:lineRule="auto"/>
              <w:ind w:left="0" w:firstLine="0"/>
              <w:rPr/>
            </w:pPr>
            <w:r w:rsidDel="00000000" w:rsidR="00000000" w:rsidRPr="00000000">
              <w:rPr>
                <w:rtl w:val="0"/>
              </w:rPr>
              <w:t xml:space="preserve">The Investor’s right to receive its Conversion Amount is (A) on par with payments for Common Stock and other Safes and/or Preferred Stock who are also receiving Conversion Amounts or Proceeds on a similar as-converted to Common Stock basis, and (B) junior to payments described in clauses (1.4.1) and (1.4.2) above (in the latter case, to the extent such payments are Cash-Out Amounts or similar liquidation preferences).</w:t>
            </w:r>
          </w:p>
        </w:tc>
      </w:tr>
      <w:tr>
        <w:trPr>
          <w:cantSplit w:val="0"/>
          <w:tblHeader w:val="0"/>
        </w:trPr>
        <w:tc>
          <w:tcPr/>
          <w:p w:rsidR="00000000" w:rsidDel="00000000" w:rsidP="00000000" w:rsidRDefault="00000000" w:rsidRPr="00000000" w14:paraId="0000003B">
            <w:pPr>
              <w:keepLines w:val="1"/>
              <w:spacing w:after="0" w:lineRule="auto"/>
              <w:ind w:firstLine="720"/>
              <w:rPr/>
            </w:pPr>
            <w:r w:rsidDel="00000000" w:rsidR="00000000" w:rsidRPr="00000000">
              <w:rPr>
                <w:color w:val="000000"/>
                <w:rtl w:val="0"/>
              </w:rPr>
              <w:t xml:space="preserve">1.5.</w:t>
            </w:r>
            <w:r w:rsidDel="00000000" w:rsidR="00000000" w:rsidRPr="00000000">
              <w:rPr>
                <w:rtl w:val="0"/>
              </w:rPr>
              <w:t xml:space="preserve"> </w:t>
              <w:tab/>
            </w:r>
            <w:r w:rsidDel="00000000" w:rsidR="00000000" w:rsidRPr="00000000">
              <w:rPr>
                <w:b w:val="1"/>
                <w:bCs w:val="1"/>
                <w:color w:val="000000"/>
                <w:rtl w:val="0"/>
              </w:rPr>
              <w:t xml:space="preserve">Megszűnés</w:t>
            </w: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03C">
            <w:pPr>
              <w:spacing w:after="0" w:lineRule="auto"/>
              <w:ind w:left="0" w:firstLine="0"/>
              <w:rPr/>
            </w:pPr>
            <w:r w:rsidDel="00000000" w:rsidR="00000000" w:rsidRPr="00000000">
              <w:rPr>
                <w:rtl w:val="0"/>
              </w:rPr>
              <w:t xml:space="preserve">1.5</w:t>
              <w:tab/>
            </w:r>
            <w:r w:rsidDel="00000000" w:rsidR="00000000" w:rsidRPr="00000000">
              <w:rPr>
                <w:b w:val="1"/>
                <w:bCs w:val="1"/>
                <w:rtl w:val="0"/>
              </w:rPr>
              <w:t xml:space="preserve">Termination</w:t>
            </w:r>
            <w:r w:rsidDel="00000000" w:rsidR="00000000" w:rsidRPr="00000000">
              <w:rPr>
                <w:rtl w:val="0"/>
              </w:rPr>
            </w:r>
          </w:p>
        </w:tc>
      </w:tr>
      <w:tr>
        <w:trPr>
          <w:cantSplit w:val="0"/>
          <w:tblHeader w:val="0"/>
        </w:trPr>
        <w:tc>
          <w:tcPr/>
          <w:p w:rsidR="00000000" w:rsidDel="00000000" w:rsidP="00000000" w:rsidRDefault="00000000" w:rsidRPr="00000000" w14:paraId="0000003D">
            <w:pPr>
              <w:spacing w:after="0" w:lineRule="auto"/>
              <w:ind w:left="-8" w:firstLine="0"/>
              <w:rPr/>
            </w:pPr>
            <w:r w:rsidDel="00000000" w:rsidR="00000000" w:rsidRPr="00000000">
              <w:rPr>
                <w:rtl w:val="0"/>
              </w:rPr>
              <w:t xml:space="preserve">A jelen SAFE automatikusan megszűnik (anélkül, hogy ez mentesítené a Társaságot bármely korábbi szerződésszegésből vagy a jelen SAFE rendelkezéseinek be nem tartásából eredő kötelezettsége alól) az alábbiak közül leghamarabb megvalósuló esemény zárásakor: (i) az 1.1 pont szerinti SAFE konvertálása a Befektetőt megillető részesedéssé; vagy (ii) az 1.2 vagy 1.3 pont alapján a Befektetőt megillető összeg kifizetésre kerülnek, vagy azokat kifizetése vagy kifizetés céljára elkülönítik.</w:t>
            </w:r>
          </w:p>
        </w:tc>
        <w:tc>
          <w:tcPr/>
          <w:p w:rsidR="00000000" w:rsidDel="00000000" w:rsidP="00000000" w:rsidRDefault="00000000" w:rsidRPr="00000000" w14:paraId="0000003E">
            <w:pPr>
              <w:spacing w:after="0" w:lineRule="auto"/>
              <w:ind w:left="0" w:firstLine="0"/>
              <w:rPr/>
            </w:pPr>
            <w:r w:rsidDel="00000000" w:rsidR="00000000" w:rsidRPr="00000000">
              <w:rPr>
                <w:rtl w:val="0"/>
              </w:rPr>
              <w:t xml:space="preserve">This Safe will automatically terminate (without relieving the Company of any obligations arising from a prior breach of or non-compliance with this Safe) immediately following the earliest to occur of: (i) the issuance of Capital Stock to the Investor pursuant to the conversion of this Safe under Section 1.1; or (ii) the payment, or setting aside for payment, of amounts due the Investor pursuant to Section 1.2 or Section 1.3.</w:t>
            </w:r>
          </w:p>
        </w:tc>
      </w:tr>
      <w:tr>
        <w:trPr>
          <w:cantSplit w:val="0"/>
          <w:tblHeader w:val="0"/>
        </w:trPr>
        <w:tc>
          <w:tcPr/>
          <w:p w:rsidR="00000000" w:rsidDel="00000000" w:rsidP="00000000" w:rsidRDefault="00000000" w:rsidRPr="00000000" w14:paraId="0000003F">
            <w:pPr>
              <w:spacing w:after="0" w:lineRule="auto"/>
              <w:ind w:left="0" w:firstLine="0"/>
              <w:rPr/>
            </w:pPr>
            <w:r w:rsidDel="00000000" w:rsidR="00000000" w:rsidRPr="00000000">
              <w:rPr>
                <w:rtl w:val="0"/>
              </w:rPr>
              <w:t xml:space="preserve">A Befektető nem jogosult a Vételár visszakövetelésére más jogcímen, mint amelyet a jelen SAFE kifejezetten előír, továbbá a jelen SAFE-ben kifejezetten nem rögzített körülmények semmilyen esetben nem képezhetik a jelen SAFE megszűnésének alapját.</w:t>
            </w:r>
          </w:p>
        </w:tc>
        <w:tc>
          <w:tcPr/>
          <w:p w:rsidR="00000000" w:rsidDel="00000000" w:rsidP="00000000" w:rsidRDefault="00000000" w:rsidRPr="00000000" w14:paraId="00000040">
            <w:pPr>
              <w:spacing w:after="0" w:lineRule="auto"/>
              <w:ind w:left="0" w:firstLine="0"/>
              <w:rPr/>
            </w:pPr>
            <w:r w:rsidDel="00000000" w:rsidR="00000000" w:rsidRPr="00000000">
              <w:rPr>
                <w:rtl w:val="0"/>
              </w:rPr>
              <w:t xml:space="preserve">The Investor does not have the right to demand the repayment of the Purchase Amount otherwise than on the grounds and pursuant to the terms expressly set forth in this Safe and no circumstances, other than those expressly set forth in this Safe, constitute a ground for termination of this Safe.</w:t>
            </w:r>
          </w:p>
        </w:tc>
      </w:tr>
      <w:tr>
        <w:trPr>
          <w:cantSplit w:val="0"/>
          <w:tblHeader w:val="0"/>
        </w:trPr>
        <w:tc>
          <w:tcPr/>
          <w:p w:rsidR="00000000" w:rsidDel="00000000" w:rsidP="00000000" w:rsidRDefault="00000000" w:rsidRPr="00000000" w14:paraId="00000041">
            <w:pPr>
              <w:spacing w:after="0" w:lineRule="auto"/>
              <w:ind w:left="0" w:firstLine="0"/>
              <w:rPr>
                <w:b w:val="1"/>
                <w:bCs w:val="1"/>
              </w:rPr>
            </w:pPr>
            <w:r w:rsidDel="00000000" w:rsidR="00000000" w:rsidRPr="00000000">
              <w:rPr>
                <w:b w:val="1"/>
                <w:bCs w:val="1"/>
                <w:rtl w:val="0"/>
              </w:rPr>
              <w:t xml:space="preserve">2.</w:t>
            </w:r>
            <w:r w:rsidDel="00000000" w:rsidR="00000000" w:rsidRPr="00000000">
              <w:rPr>
                <w:rtl w:val="0"/>
              </w:rPr>
              <w:t xml:space="preserve"> </w:t>
              <w:tab/>
            </w:r>
            <w:r w:rsidDel="00000000" w:rsidR="00000000" w:rsidRPr="00000000">
              <w:rPr>
                <w:b w:val="1"/>
                <w:bCs w:val="1"/>
                <w:rtl w:val="0"/>
              </w:rPr>
              <w:t xml:space="preserve">Fogalommeghatározások </w:t>
            </w:r>
          </w:p>
        </w:tc>
        <w:tc>
          <w:tcPr/>
          <w:p w:rsidR="00000000" w:rsidDel="00000000" w:rsidP="00000000" w:rsidRDefault="00000000" w:rsidRPr="00000000" w14:paraId="00000042">
            <w:pPr>
              <w:spacing w:after="0" w:lineRule="auto"/>
              <w:ind w:left="0" w:firstLine="0"/>
              <w:rPr>
                <w:b w:val="1"/>
                <w:bCs w:val="1"/>
              </w:rPr>
            </w:pPr>
            <w:r w:rsidDel="00000000" w:rsidR="00000000" w:rsidRPr="00000000">
              <w:rPr>
                <w:b w:val="1"/>
                <w:bCs w:val="1"/>
                <w:rtl w:val="0"/>
              </w:rPr>
              <w:t xml:space="preserve">2.</w:t>
              <w:tab/>
              <w:t xml:space="preserve">Definitions</w:t>
            </w:r>
          </w:p>
        </w:tc>
      </w:tr>
      <w:tr>
        <w:trPr>
          <w:cantSplit w:val="0"/>
          <w:tblHeader w:val="0"/>
        </w:trPr>
        <w:tc>
          <w:tcPr/>
          <w:p w:rsidR="00000000" w:rsidDel="00000000" w:rsidP="00000000" w:rsidRDefault="00000000" w:rsidRPr="00000000" w14:paraId="00000043">
            <w:pPr>
              <w:spacing w:after="0" w:lineRule="auto"/>
              <w:ind w:left="0"/>
              <w:rPr>
                <w:highlight w:val="green"/>
              </w:rPr>
            </w:pPr>
            <w:r w:rsidDel="00000000" w:rsidR="00000000" w:rsidRPr="00000000">
              <w:rPr>
                <w:highlight w:val="green"/>
                <w:rtl w:val="0"/>
              </w:rPr>
              <w:t xml:space="preserve">2.1 „</w:t>
            </w:r>
            <w:r w:rsidDel="00000000" w:rsidR="00000000" w:rsidRPr="00000000">
              <w:rPr>
                <w:b w:val="1"/>
                <w:bCs w:val="1"/>
                <w:highlight w:val="green"/>
                <w:rtl w:val="0"/>
              </w:rPr>
              <w:t xml:space="preserve">Post-money Értékelési Plafon</w:t>
            </w:r>
            <w:r w:rsidDel="00000000" w:rsidR="00000000" w:rsidRPr="00000000">
              <w:rPr>
                <w:highlight w:val="green"/>
                <w:rtl w:val="0"/>
              </w:rPr>
              <w:t xml:space="preserve">” [</w:t>
            </w:r>
            <w:r w:rsidDel="00000000" w:rsidR="00000000" w:rsidRPr="00000000">
              <w:rPr>
                <w:i w:val="1"/>
                <w:iCs w:val="1"/>
                <w:highlight w:val="green"/>
                <w:rtl w:val="0"/>
              </w:rPr>
              <w:t xml:space="preserve">pénznem</w:t>
            </w:r>
            <w:r w:rsidDel="00000000" w:rsidR="00000000" w:rsidRPr="00000000">
              <w:rPr>
                <w:highlight w:val="green"/>
                <w:rtl w:val="0"/>
              </w:rPr>
              <w:t xml:space="preserve">] [</w:t>
            </w:r>
            <w:r w:rsidDel="00000000" w:rsidR="00000000" w:rsidRPr="00000000">
              <w:rPr>
                <w:i w:val="1"/>
                <w:iCs w:val="1"/>
                <w:highlight w:val="green"/>
                <w:rtl w:val="0"/>
              </w:rPr>
              <w:t xml:space="preserve">összeg</w:t>
            </w:r>
            <w:r w:rsidDel="00000000" w:rsidR="00000000" w:rsidRPr="00000000">
              <w:rPr>
                <w:highlight w:val="green"/>
                <w:rtl w:val="0"/>
              </w:rPr>
              <w:t xml:space="preserve">].</w:t>
            </w:r>
          </w:p>
        </w:tc>
        <w:tc>
          <w:tcPr/>
          <w:p w:rsidR="00000000" w:rsidDel="00000000" w:rsidP="00000000" w:rsidRDefault="00000000" w:rsidRPr="00000000" w14:paraId="00000044">
            <w:pPr>
              <w:spacing w:after="0" w:lineRule="auto"/>
              <w:ind w:left="0"/>
              <w:rPr>
                <w:highlight w:val="green"/>
              </w:rPr>
            </w:pPr>
            <w:r w:rsidDel="00000000" w:rsidR="00000000" w:rsidRPr="00000000">
              <w:rPr>
                <w:highlight w:val="green"/>
                <w:rtl w:val="0"/>
              </w:rPr>
              <w:t xml:space="preserve">2.1 The “</w:t>
            </w:r>
            <w:r w:rsidDel="00000000" w:rsidR="00000000" w:rsidRPr="00000000">
              <w:rPr>
                <w:b w:val="1"/>
                <w:bCs w:val="1"/>
                <w:highlight w:val="green"/>
                <w:rtl w:val="0"/>
              </w:rPr>
              <w:t xml:space="preserve">Post-Money Valuation Cap</w:t>
            </w:r>
            <w:r w:rsidDel="00000000" w:rsidR="00000000" w:rsidRPr="00000000">
              <w:rPr>
                <w:highlight w:val="green"/>
                <w:rtl w:val="0"/>
              </w:rPr>
              <w:t xml:space="preserve">” is [insert currency] [___________].</w:t>
            </w:r>
            <w:r w:rsidDel="00000000" w:rsidR="00000000" w:rsidRPr="00000000">
              <w:rPr>
                <w:highlight w:val="green"/>
                <w:vertAlign w:val="superscript"/>
              </w:rPr>
              <w:footnoteReference w:customMarkFollows="0" w:id="4"/>
            </w:r>
            <w:r w:rsidDel="00000000" w:rsidR="00000000" w:rsidRPr="00000000">
              <w:rPr>
                <w:highlight w:val="green"/>
                <w:rtl w:val="0"/>
              </w:rPr>
              <w:t xml:space="preserve"> </w:t>
            </w:r>
            <w:r w:rsidDel="00000000" w:rsidR="00000000" w:rsidRPr="00000000">
              <w:rPr>
                <w:vertAlign w:val="superscript"/>
              </w:rPr>
              <w:footnoteReference w:customMarkFollows="0" w:id="5"/>
            </w:r>
            <w:r w:rsidDel="00000000" w:rsidR="00000000" w:rsidRPr="00000000">
              <w:rPr>
                <w:rtl w:val="0"/>
              </w:rPr>
            </w:r>
          </w:p>
        </w:tc>
      </w:tr>
      <w:tr>
        <w:trPr>
          <w:cantSplit w:val="0"/>
          <w:trHeight w:val="490.95703125" w:hRule="atLeast"/>
          <w:tblHeader w:val="0"/>
        </w:trPr>
        <w:tc>
          <w:tcPr/>
          <w:p w:rsidR="00000000" w:rsidDel="00000000" w:rsidP="00000000" w:rsidRDefault="00000000" w:rsidRPr="00000000" w14:paraId="00000045">
            <w:pPr>
              <w:spacing w:after="0" w:lineRule="auto"/>
              <w:ind w:left="0"/>
              <w:rPr>
                <w:highlight w:val="cyan"/>
              </w:rPr>
            </w:pPr>
            <w:r w:rsidDel="00000000" w:rsidR="00000000" w:rsidRPr="00000000">
              <w:rPr>
                <w:highlight w:val="cyan"/>
                <w:rtl w:val="0"/>
              </w:rPr>
              <w:t xml:space="preserve">2.2 „</w:t>
            </w:r>
            <w:r w:rsidDel="00000000" w:rsidR="00000000" w:rsidRPr="00000000">
              <w:rPr>
                <w:b w:val="1"/>
                <w:bCs w:val="1"/>
                <w:highlight w:val="cyan"/>
                <w:rtl w:val="0"/>
              </w:rPr>
              <w:t xml:space="preserve">Diszkont</w:t>
            </w:r>
            <w:r w:rsidDel="00000000" w:rsidR="00000000" w:rsidRPr="00000000">
              <w:rPr>
                <w:highlight w:val="cyan"/>
                <w:rtl w:val="0"/>
              </w:rPr>
              <w:t xml:space="preserve">” mértéke [megállapodás szerinti diszkont]%.</w:t>
            </w:r>
          </w:p>
        </w:tc>
        <w:tc>
          <w:tcPr/>
          <w:p w:rsidR="00000000" w:rsidDel="00000000" w:rsidP="00000000" w:rsidRDefault="00000000" w:rsidRPr="00000000" w14:paraId="00000046">
            <w:pPr>
              <w:spacing w:after="0" w:lineRule="auto"/>
              <w:ind w:left="0"/>
              <w:rPr>
                <w:highlight w:val="cyan"/>
              </w:rPr>
            </w:pPr>
            <w:r w:rsidDel="00000000" w:rsidR="00000000" w:rsidRPr="00000000">
              <w:rPr>
                <w:highlight w:val="cyan"/>
                <w:rtl w:val="0"/>
              </w:rPr>
              <w:t xml:space="preserve">2.2 The “</w:t>
            </w:r>
            <w:r w:rsidDel="00000000" w:rsidR="00000000" w:rsidRPr="00000000">
              <w:rPr>
                <w:b w:val="1"/>
                <w:bCs w:val="1"/>
                <w:highlight w:val="cyan"/>
                <w:rtl w:val="0"/>
              </w:rPr>
              <w:t xml:space="preserve">Discount</w:t>
            </w:r>
            <w:r w:rsidDel="00000000" w:rsidR="00000000" w:rsidRPr="00000000">
              <w:rPr>
                <w:highlight w:val="cyan"/>
                <w:rtl w:val="0"/>
              </w:rPr>
              <w:t xml:space="preserve">” is [insert agreed discount]%.</w:t>
            </w:r>
            <w:r w:rsidDel="00000000" w:rsidR="00000000" w:rsidRPr="00000000">
              <w:rPr>
                <w:highlight w:val="cyan"/>
                <w:vertAlign w:val="superscript"/>
              </w:rPr>
              <w:footnoteReference w:customMarkFollows="0" w:id="6"/>
            </w:r>
            <w:r w:rsidDel="00000000" w:rsidR="00000000" w:rsidRPr="00000000">
              <w:rPr>
                <w:rtl w:val="0"/>
              </w:rPr>
            </w:r>
          </w:p>
        </w:tc>
      </w:tr>
      <w:tr>
        <w:trPr>
          <w:cantSplit w:val="0"/>
          <w:tblHeader w:val="0"/>
        </w:trPr>
        <w:tc>
          <w:tcPr/>
          <w:p w:rsidR="00000000" w:rsidDel="00000000" w:rsidP="00000000" w:rsidRDefault="00000000" w:rsidRPr="00000000" w14:paraId="00000047">
            <w:pPr>
              <w:spacing w:after="0" w:lineRule="auto"/>
              <w:ind w:left="-8" w:firstLine="0"/>
              <w:rPr/>
            </w:pPr>
            <w:r w:rsidDel="00000000" w:rsidR="00000000" w:rsidRPr="00000000">
              <w:rPr>
                <w:rtl w:val="0"/>
              </w:rPr>
              <w:t xml:space="preserve">2.3</w:t>
            </w:r>
            <w:r w:rsidDel="00000000" w:rsidR="00000000" w:rsidRPr="00000000">
              <w:rPr>
                <w:b w:val="1"/>
                <w:bCs w:val="1"/>
                <w:rtl w:val="0"/>
              </w:rPr>
              <w:t xml:space="preserve"> „Jegyzett tőke”</w:t>
            </w:r>
            <w:r w:rsidDel="00000000" w:rsidR="00000000" w:rsidRPr="00000000">
              <w:rPr>
                <w:rtl w:val="0"/>
              </w:rPr>
              <w:t xml:space="preserve"> a Társasági részesedéseken, ideértve különösen a </w:t>
            </w:r>
            <w:r w:rsidDel="00000000" w:rsidR="00000000" w:rsidRPr="00000000">
              <w:rPr>
                <w:b w:val="1"/>
                <w:bCs w:val="1"/>
                <w:rtl w:val="0"/>
              </w:rPr>
              <w:t xml:space="preserve">„Tagok</w:t>
            </w:r>
            <w:r w:rsidDel="00000000" w:rsidR="00000000" w:rsidRPr="00000000">
              <w:rPr>
                <w:rtl w:val="0"/>
              </w:rPr>
              <w:t xml:space="preserve"> </w:t>
            </w:r>
            <w:r w:rsidDel="00000000" w:rsidR="00000000" w:rsidRPr="00000000">
              <w:rPr>
                <w:b w:val="1"/>
                <w:bCs w:val="1"/>
                <w:rtl w:val="0"/>
              </w:rPr>
              <w:t xml:space="preserve">vagyoni hozzájárulásait”</w:t>
            </w:r>
            <w:r w:rsidDel="00000000" w:rsidR="00000000" w:rsidRPr="00000000">
              <w:rPr>
                <w:rtl w:val="0"/>
              </w:rPr>
              <w:t xml:space="preserve"> és az </w:t>
            </w:r>
            <w:r w:rsidDel="00000000" w:rsidR="00000000" w:rsidRPr="00000000">
              <w:rPr>
                <w:b w:val="1"/>
                <w:bCs w:val="1"/>
                <w:rtl w:val="0"/>
              </w:rPr>
              <w:t xml:space="preserve">„Elsőbbségi jogokat biztosító részesedéseket”</w:t>
            </w:r>
            <w:r w:rsidDel="00000000" w:rsidR="00000000" w:rsidRPr="00000000">
              <w:rPr>
                <w:rtl w:val="0"/>
              </w:rPr>
              <w:t xml:space="preserve">. A jelen SAFE alkalmazásában a „Társasági részesedés” a Társaság egy olyan fiktív tulajdoni hányadát jelenti, amelynek névértéke HUF [</w:t>
            </w:r>
            <w:r w:rsidDel="00000000" w:rsidR="00000000" w:rsidRPr="00000000">
              <w:rPr>
                <w:b w:val="1"/>
                <w:bCs w:val="1"/>
                <w:rtl w:val="0"/>
              </w:rPr>
              <w:t xml:space="preserve">]; például 100 részesedés Társaságban a jelen SAFE szempontjából egy HUF [</w:t>
            </w:r>
            <w:r w:rsidDel="00000000" w:rsidR="00000000" w:rsidRPr="00000000">
              <w:rPr>
                <w:rtl w:val="0"/>
              </w:rPr>
              <w:t xml:space="preserve">] </w:t>
            </w:r>
            <w:r w:rsidDel="00000000" w:rsidR="00000000" w:rsidRPr="00000000">
              <w:rPr>
                <w:b w:val="1"/>
                <w:bCs w:val="1"/>
                <w:rtl w:val="0"/>
              </w:rPr>
              <w:t xml:space="preserve">névértékű tulajdoni hányadnak felel meg. </w:t>
            </w:r>
            <w:r w:rsidDel="00000000" w:rsidR="00000000" w:rsidRPr="00000000">
              <w:rPr>
                <w:rtl w:val="0"/>
              </w:rPr>
            </w:r>
          </w:p>
        </w:tc>
        <w:tc>
          <w:tcPr/>
          <w:p w:rsidR="00000000" w:rsidDel="00000000" w:rsidP="00000000" w:rsidRDefault="00000000" w:rsidRPr="00000000" w14:paraId="00000048">
            <w:pPr>
              <w:spacing w:after="0" w:lineRule="auto"/>
              <w:ind w:left="0" w:firstLine="0"/>
              <w:rPr/>
            </w:pPr>
            <w:r w:rsidDel="00000000" w:rsidR="00000000" w:rsidRPr="00000000">
              <w:rPr>
                <w:rtl w:val="0"/>
              </w:rPr>
              <w:t xml:space="preserve">2.3 “</w:t>
            </w:r>
            <w:r w:rsidDel="00000000" w:rsidR="00000000" w:rsidRPr="00000000">
              <w:rPr>
                <w:b w:val="1"/>
                <w:bCs w:val="1"/>
                <w:rtl w:val="0"/>
              </w:rPr>
              <w:t xml:space="preserve">Capital Stock</w:t>
            </w:r>
            <w:r w:rsidDel="00000000" w:rsidR="00000000" w:rsidRPr="00000000">
              <w:rPr>
                <w:rtl w:val="0"/>
              </w:rPr>
              <w:t xml:space="preserve">” means the shares of the Company, including, without limitation, the “</w:t>
            </w:r>
            <w:r w:rsidDel="00000000" w:rsidR="00000000" w:rsidRPr="00000000">
              <w:rPr>
                <w:b w:val="1"/>
                <w:bCs w:val="1"/>
                <w:rtl w:val="0"/>
              </w:rPr>
              <w:t xml:space="preserve">Common Stock</w:t>
            </w:r>
            <w:r w:rsidDel="00000000" w:rsidR="00000000" w:rsidRPr="00000000">
              <w:rPr>
                <w:rtl w:val="0"/>
              </w:rPr>
              <w:t xml:space="preserve">” and the “</w:t>
            </w:r>
            <w:r w:rsidDel="00000000" w:rsidR="00000000" w:rsidRPr="00000000">
              <w:rPr>
                <w:b w:val="1"/>
                <w:bCs w:val="1"/>
                <w:rtl w:val="0"/>
              </w:rPr>
              <w:t xml:space="preserve">Preferred Stock</w:t>
            </w:r>
            <w:r w:rsidDel="00000000" w:rsidR="00000000" w:rsidRPr="00000000">
              <w:rPr>
                <w:rtl w:val="0"/>
              </w:rPr>
              <w:t xml:space="preserve">.” For the purposes of this Safe, a “share of the Company” means a notional part of a share of the Company having a nominal value of HUF [__];</w:t>
            </w:r>
            <w:r w:rsidDel="00000000" w:rsidR="00000000" w:rsidRPr="00000000">
              <w:rPr>
                <w:vertAlign w:val="superscript"/>
              </w:rPr>
              <w:footnoteReference w:customMarkFollows="0" w:id="7"/>
            </w:r>
            <w:r w:rsidDel="00000000" w:rsidR="00000000" w:rsidRPr="00000000">
              <w:rPr>
                <w:rtl w:val="0"/>
              </w:rPr>
              <w:t xml:space="preserve"> </w:t>
            </w:r>
            <w:r w:rsidDel="00000000" w:rsidR="00000000" w:rsidRPr="00000000">
              <w:rPr>
                <w:b w:val="1"/>
                <w:bCs w:val="1"/>
                <w:rtl w:val="0"/>
              </w:rPr>
              <w:t xml:space="preserve">for example, 100 shares of the Company means for the purposes of this Safe, a share of the Company with the nominal value of [__]</w:t>
            </w:r>
            <w:r w:rsidDel="00000000" w:rsidR="00000000" w:rsidRPr="00000000">
              <w:rPr>
                <w:rtl w:val="0"/>
              </w:rPr>
              <w:t xml:space="preserve">.</w:t>
            </w:r>
            <w:r w:rsidDel="00000000" w:rsidR="00000000" w:rsidRPr="00000000">
              <w:rPr>
                <w:vertAlign w:val="superscript"/>
              </w:rPr>
              <w:footnoteReference w:customMarkFollows="0" w:id="8"/>
            </w:r>
            <w:r w:rsidDel="00000000" w:rsidR="00000000" w:rsidRPr="00000000">
              <w:rPr>
                <w:rtl w:val="0"/>
              </w:rPr>
            </w:r>
          </w:p>
        </w:tc>
      </w:tr>
      <w:tr>
        <w:trPr>
          <w:cantSplit w:val="0"/>
          <w:tblHeader w:val="0"/>
        </w:trPr>
        <w:tc>
          <w:tcPr/>
          <w:p w:rsidR="00000000" w:rsidDel="00000000" w:rsidP="00000000" w:rsidRDefault="00000000" w:rsidRPr="00000000" w14:paraId="00000049">
            <w:pPr>
              <w:spacing w:after="0" w:lineRule="auto"/>
              <w:ind w:left="0" w:firstLine="0"/>
              <w:rPr/>
            </w:pPr>
            <w:r w:rsidDel="00000000" w:rsidR="00000000" w:rsidRPr="00000000">
              <w:rPr>
                <w:color w:val="000000"/>
                <w:rtl w:val="0"/>
              </w:rPr>
              <w:t xml:space="preserve">2.</w:t>
            </w:r>
            <w:r w:rsidDel="00000000" w:rsidR="00000000" w:rsidRPr="00000000">
              <w:rPr>
                <w:rtl w:val="0"/>
              </w:rPr>
              <w:t xml:space="preserve">4</w:t>
            </w:r>
            <w:r w:rsidDel="00000000" w:rsidR="00000000" w:rsidRPr="00000000">
              <w:rPr>
                <w:color w:val="000000"/>
                <w:rtl w:val="0"/>
              </w:rPr>
              <w:t xml:space="preserve">.</w:t>
            </w:r>
            <w:r w:rsidDel="00000000" w:rsidR="00000000" w:rsidRPr="00000000">
              <w:rPr>
                <w:b w:val="1"/>
                <w:bCs w:val="1"/>
                <w:color w:val="000000"/>
                <w:rtl w:val="0"/>
              </w:rPr>
              <w:t xml:space="preserve"> „Irányításváltás”</w:t>
            </w:r>
            <w:r w:rsidDel="00000000" w:rsidR="00000000" w:rsidRPr="00000000">
              <w:rPr>
                <w:color w:val="000000"/>
                <w:rtl w:val="0"/>
              </w:rPr>
              <w:t xml:space="preserve"> olyan tranzakció vagy egymással összefüggő tranzakciók sorozata, amelynek eredményeként (i) egy személy – ideértve a vele közös irányítás alatt álló, őt irányító vagy általa irányított személyeket – közvetlenül vagy közvetve a Társaság olyan, szavazati joggal rendelkező értékpapírjainak több mint 50%-át megszerzi, amelyek jogosítanak a Társaság felügyelőbizottsága vagy igazgatótanácsa tagjainak megválasztására; vagy (ii) a Társaság egyesül egy másik társasággal, kivéve az olyan tranzakciót vagy tranzakciók sorozatát, amely(ek) során a tranzakció(k) előtt fennálló, szavazati joggal rendelkező értékpapírjainak tulajdonosai az adott tranzakció(k) zárása után is legalább a szavazati jogok többségével rendelkeznek a Társaságban vagy az egyesülésből létrejövő, illetve fennmaradó társaságban; vagy (iii) a Társaság eszközeinek teljes egészét vagy lényegében teljes egészét eladják, bérbe adják vagy más módon átruházzák.</w:t>
            </w:r>
            <w:r w:rsidDel="00000000" w:rsidR="00000000" w:rsidRPr="00000000">
              <w:rPr>
                <w:rtl w:val="0"/>
              </w:rPr>
            </w:r>
          </w:p>
        </w:tc>
        <w:tc>
          <w:tcPr/>
          <w:p w:rsidR="00000000" w:rsidDel="00000000" w:rsidP="00000000" w:rsidRDefault="00000000" w:rsidRPr="00000000" w14:paraId="0000004A">
            <w:pPr>
              <w:spacing w:after="0" w:lineRule="auto"/>
              <w:ind w:left="0" w:firstLine="0"/>
              <w:rPr/>
            </w:pPr>
            <w:r w:rsidDel="00000000" w:rsidR="00000000" w:rsidRPr="00000000">
              <w:rPr>
                <w:rtl w:val="0"/>
              </w:rPr>
              <w:t xml:space="preserve">2.4 “</w:t>
            </w:r>
            <w:r w:rsidDel="00000000" w:rsidR="00000000" w:rsidRPr="00000000">
              <w:rPr>
                <w:b w:val="1"/>
                <w:bCs w:val="1"/>
                <w:rtl w:val="0"/>
              </w:rPr>
              <w:t xml:space="preserve">Change of Control</w:t>
            </w:r>
            <w:r w:rsidDel="00000000" w:rsidR="00000000" w:rsidRPr="00000000">
              <w:rPr>
                <w:rtl w:val="0"/>
              </w:rPr>
              <w:t xml:space="preserve">” means (i) a transaction or series of related transactions in which any person together with persons Controlled, Controlling or under common Control with the first person, becomes the owner, directly or indirectly, of more than 50% of the outstanding voting securities of the Company having the right to vote for the election of members of the Company’s supervisory board or management board (ii) any merger of the Company, other than a transaction or series of related transactions in which the holders of the voting securities of the Company outstanding immediately prior to such transaction or series of related transactions retain, immediately after such transaction or series of related transactions, at least a majority of the total voting power represented by the outstanding voting securities of the Company or such other surviving or resulting entity or (iii) a sale, lease or other disposition of all or substantially all of the assets of the Company.  </w:t>
            </w:r>
          </w:p>
        </w:tc>
      </w:tr>
      <w:tr>
        <w:trPr>
          <w:cantSplit w:val="0"/>
          <w:tblHeader w:val="0"/>
        </w:trPr>
        <w:tc>
          <w:tcPr/>
          <w:p w:rsidR="00000000" w:rsidDel="00000000" w:rsidP="00000000" w:rsidRDefault="00000000" w:rsidRPr="00000000" w14:paraId="0000004B">
            <w:pPr>
              <w:keepLines w:val="1"/>
              <w:spacing w:after="0" w:lineRule="auto"/>
              <w:ind w:left="0" w:firstLine="0"/>
              <w:rPr>
                <w:highlight w:val="green"/>
              </w:rPr>
            </w:pPr>
            <w:r w:rsidDel="00000000" w:rsidR="00000000" w:rsidRPr="00000000">
              <w:rPr>
                <w:highlight w:val="green"/>
                <w:rtl w:val="0"/>
              </w:rPr>
              <w:t xml:space="preserve">2.5 „</w:t>
            </w:r>
            <w:r w:rsidDel="00000000" w:rsidR="00000000" w:rsidRPr="00000000">
              <w:rPr>
                <w:b w:val="1"/>
                <w:bCs w:val="1"/>
                <w:highlight w:val="green"/>
                <w:rtl w:val="0"/>
              </w:rPr>
              <w:t xml:space="preserve">Társaság tőkésítése</w:t>
            </w:r>
            <w:r w:rsidDel="00000000" w:rsidR="00000000" w:rsidRPr="00000000">
              <w:rPr>
                <w:highlight w:val="green"/>
                <w:rtl w:val="0"/>
              </w:rPr>
              <w:t xml:space="preserve">” az első körös tőkebevonást közvetlenül megelőző időpontra vonatkozóan kerül kiszámításra, a kettős beszámítás elkerülésével, minden esetben a részesedésre átszámított alapon értendő. A számítás az alábbiakat foglalja magában:</w:t>
            </w:r>
          </w:p>
        </w:tc>
        <w:tc>
          <w:tcPr/>
          <w:p w:rsidR="00000000" w:rsidDel="00000000" w:rsidP="00000000" w:rsidRDefault="00000000" w:rsidRPr="00000000" w14:paraId="0000004C">
            <w:pPr>
              <w:spacing w:after="0" w:lineRule="auto"/>
              <w:ind w:left="0" w:firstLine="0"/>
              <w:rPr>
                <w:highlight w:val="green"/>
              </w:rPr>
            </w:pPr>
            <w:r w:rsidDel="00000000" w:rsidR="00000000" w:rsidRPr="00000000">
              <w:rPr>
                <w:highlight w:val="green"/>
                <w:rtl w:val="0"/>
              </w:rPr>
              <w:t xml:space="preserve">2.5 “</w:t>
            </w:r>
            <w:r w:rsidDel="00000000" w:rsidR="00000000" w:rsidRPr="00000000">
              <w:rPr>
                <w:b w:val="1"/>
                <w:bCs w:val="1"/>
                <w:highlight w:val="green"/>
                <w:rtl w:val="0"/>
              </w:rPr>
              <w:t xml:space="preserve">Company Capitalization</w:t>
            </w:r>
            <w:r w:rsidDel="00000000" w:rsidR="00000000" w:rsidRPr="00000000">
              <w:rPr>
                <w:highlight w:val="green"/>
                <w:rtl w:val="0"/>
              </w:rPr>
              <w:t xml:space="preserve">” is calculated as of immediately prior to the Equity Financing and (without double-counting, in each case calculated on an as-converted to Common Stock basis):</w:t>
            </w:r>
          </w:p>
        </w:tc>
      </w:tr>
      <w:tr>
        <w:trPr>
          <w:cantSplit w:val="0"/>
          <w:tblHeader w:val="0"/>
        </w:trPr>
        <w:tc>
          <w:tcPr/>
          <w:p w:rsidR="00000000" w:rsidDel="00000000" w:rsidP="00000000" w:rsidRDefault="00000000" w:rsidRPr="00000000" w14:paraId="0000004D">
            <w:pPr>
              <w:keepLines w:val="1"/>
              <w:spacing w:after="0" w:lineRule="auto"/>
              <w:ind w:firstLine="720"/>
              <w:rPr>
                <w:highlight w:val="green"/>
              </w:rPr>
            </w:pPr>
            <w:r w:rsidDel="00000000" w:rsidR="00000000" w:rsidRPr="00000000">
              <w:rPr>
                <w:highlight w:val="green"/>
                <w:rtl w:val="0"/>
              </w:rPr>
              <w:t xml:space="preserve">2.5.1. minden kibocsátott és forgalomban lévő, értékpapír; </w:t>
            </w:r>
          </w:p>
        </w:tc>
        <w:tc>
          <w:tcPr/>
          <w:p w:rsidR="00000000" w:rsidDel="00000000" w:rsidP="00000000" w:rsidRDefault="00000000" w:rsidRPr="00000000" w14:paraId="0000004E">
            <w:pPr>
              <w:spacing w:after="0" w:lineRule="auto"/>
              <w:ind w:left="0" w:firstLine="0"/>
              <w:rPr>
                <w:highlight w:val="green"/>
              </w:rPr>
            </w:pPr>
            <w:r w:rsidDel="00000000" w:rsidR="00000000" w:rsidRPr="00000000">
              <w:rPr>
                <w:highlight w:val="green"/>
                <w:rtl w:val="0"/>
              </w:rPr>
              <w:t xml:space="preserve">2.5.1 Includes all shares of Capital Stock issued and outstanding;</w:t>
            </w:r>
          </w:p>
        </w:tc>
      </w:tr>
      <w:tr>
        <w:trPr>
          <w:cantSplit w:val="0"/>
          <w:tblHeader w:val="0"/>
        </w:trPr>
        <w:tc>
          <w:tcPr/>
          <w:p w:rsidR="00000000" w:rsidDel="00000000" w:rsidP="00000000" w:rsidRDefault="00000000" w:rsidRPr="00000000" w14:paraId="0000004F">
            <w:pPr>
              <w:keepLines w:val="1"/>
              <w:spacing w:after="0" w:lineRule="auto"/>
              <w:ind w:firstLine="720"/>
              <w:rPr>
                <w:highlight w:val="green"/>
              </w:rPr>
            </w:pPr>
            <w:r w:rsidDel="00000000" w:rsidR="00000000" w:rsidRPr="00000000">
              <w:rPr>
                <w:highlight w:val="green"/>
                <w:rtl w:val="0"/>
              </w:rPr>
              <w:t xml:space="preserve">2.5.2. minden Konvertálható Értékpapír;</w:t>
            </w:r>
          </w:p>
        </w:tc>
        <w:tc>
          <w:tcPr/>
          <w:p w:rsidR="00000000" w:rsidDel="00000000" w:rsidP="00000000" w:rsidRDefault="00000000" w:rsidRPr="00000000" w14:paraId="00000050">
            <w:pPr>
              <w:spacing w:after="0" w:lineRule="auto"/>
              <w:ind w:left="0" w:firstLine="0"/>
              <w:rPr>
                <w:highlight w:val="green"/>
              </w:rPr>
            </w:pPr>
            <w:r w:rsidDel="00000000" w:rsidR="00000000" w:rsidRPr="00000000">
              <w:rPr>
                <w:highlight w:val="green"/>
                <w:rtl w:val="0"/>
              </w:rPr>
              <w:t xml:space="preserve">2.5.2 Includes all Converting Securities;</w:t>
            </w:r>
          </w:p>
        </w:tc>
      </w:tr>
      <w:tr>
        <w:trPr>
          <w:cantSplit w:val="0"/>
          <w:tblHeader w:val="0"/>
        </w:trPr>
        <w:tc>
          <w:tcPr/>
          <w:p w:rsidR="00000000" w:rsidDel="00000000" w:rsidP="00000000" w:rsidRDefault="00000000" w:rsidRPr="00000000" w14:paraId="00000051">
            <w:pPr>
              <w:keepLines w:val="1"/>
              <w:spacing w:after="0" w:lineRule="auto"/>
              <w:ind w:firstLine="720"/>
              <w:rPr>
                <w:highlight w:val="green"/>
              </w:rPr>
            </w:pPr>
            <w:r w:rsidDel="00000000" w:rsidR="00000000" w:rsidRPr="00000000">
              <w:rPr>
                <w:highlight w:val="green"/>
                <w:rtl w:val="0"/>
              </w:rPr>
              <w:t xml:space="preserve">2.5.3. minden kibocsátott és forgalomban lévő Opció, valamint Ígért Opció; továbbá</w:t>
            </w:r>
          </w:p>
        </w:tc>
        <w:tc>
          <w:tcPr/>
          <w:p w:rsidR="00000000" w:rsidDel="00000000" w:rsidP="00000000" w:rsidRDefault="00000000" w:rsidRPr="00000000" w14:paraId="00000052">
            <w:pPr>
              <w:spacing w:after="0" w:lineRule="auto"/>
              <w:ind w:left="0" w:firstLine="0"/>
              <w:rPr>
                <w:highlight w:val="green"/>
              </w:rPr>
            </w:pPr>
            <w:r w:rsidDel="00000000" w:rsidR="00000000" w:rsidRPr="00000000">
              <w:rPr>
                <w:highlight w:val="green"/>
                <w:rtl w:val="0"/>
              </w:rPr>
              <w:t xml:space="preserve">2.4.3 Includes all (i) issued and outstanding Options and (ii) Promised Options; and</w:t>
            </w:r>
          </w:p>
        </w:tc>
      </w:tr>
      <w:tr>
        <w:trPr>
          <w:cantSplit w:val="0"/>
          <w:tblHeader w:val="0"/>
        </w:trPr>
        <w:tc>
          <w:tcPr/>
          <w:p w:rsidR="00000000" w:rsidDel="00000000" w:rsidP="00000000" w:rsidRDefault="00000000" w:rsidRPr="00000000" w14:paraId="00000053">
            <w:pPr>
              <w:keepLines w:val="1"/>
              <w:spacing w:after="0" w:lineRule="auto"/>
              <w:ind w:left="-8" w:firstLine="0"/>
              <w:rPr>
                <w:highlight w:val="green"/>
              </w:rPr>
            </w:pPr>
            <w:r w:rsidDel="00000000" w:rsidR="00000000" w:rsidRPr="00000000">
              <w:rPr>
                <w:highlight w:val="green"/>
                <w:rtl w:val="0"/>
              </w:rPr>
              <w:t xml:space="preserve">2.5.4. a még ki nem bocsátott Opciós Keret, azzal a kivétellel, hogy az Opciós Keret a Tőkebevonással összefüggésben történő emelése csak abban az esetben vehető figyelembe, ha az Ígért Opciók száma meghaladja a ki nem bocsátott Opciós Keret Tőkebevonást megelőző összegét.</w:t>
            </w:r>
            <w:r w:rsidDel="00000000" w:rsidR="00000000" w:rsidRPr="00000000">
              <w:rPr>
                <w:highlight w:val="green"/>
                <w:vertAlign w:val="superscript"/>
                <w:rtl w:val="0"/>
              </w:rPr>
              <w:t xml:space="preserve"> </w:t>
            </w:r>
            <w:r w:rsidDel="00000000" w:rsidR="00000000" w:rsidRPr="00000000">
              <w:rPr>
                <w:rtl w:val="0"/>
              </w:rPr>
            </w:r>
          </w:p>
        </w:tc>
        <w:tc>
          <w:tcPr/>
          <w:p w:rsidR="00000000" w:rsidDel="00000000" w:rsidP="00000000" w:rsidRDefault="00000000" w:rsidRPr="00000000" w14:paraId="00000054">
            <w:pPr>
              <w:spacing w:after="0" w:lineRule="auto"/>
              <w:ind w:left="0" w:firstLine="0"/>
              <w:rPr>
                <w:highlight w:val="green"/>
              </w:rPr>
            </w:pPr>
            <w:r w:rsidDel="00000000" w:rsidR="00000000" w:rsidRPr="00000000">
              <w:rPr>
                <w:highlight w:val="green"/>
                <w:rtl w:val="0"/>
              </w:rPr>
              <w:t xml:space="preserve">2.5.4 Includes the Unissued Option Pool, except that any increase to the Unissued Option Pool in connection with the Equity Financing shall only be included to the extent that the number of Promised Options exceeds the Unissued Option Pool prior to such increase.</w:t>
            </w:r>
            <w:r w:rsidDel="00000000" w:rsidR="00000000" w:rsidRPr="00000000">
              <w:rPr>
                <w:vertAlign w:val="superscript"/>
              </w:rPr>
              <w:footnoteReference w:customMarkFollows="0" w:id="9"/>
            </w:r>
            <w:r w:rsidDel="00000000" w:rsidR="00000000" w:rsidRPr="00000000">
              <w:rPr>
                <w:rtl w:val="0"/>
              </w:rPr>
            </w:r>
          </w:p>
        </w:tc>
      </w:tr>
      <w:tr>
        <w:trPr>
          <w:cantSplit w:val="0"/>
          <w:tblHeader w:val="0"/>
        </w:trPr>
        <w:tc>
          <w:tcPr/>
          <w:p w:rsidR="00000000" w:rsidDel="00000000" w:rsidP="00000000" w:rsidRDefault="00000000" w:rsidRPr="00000000" w14:paraId="00000055">
            <w:pPr>
              <w:spacing w:after="0" w:lineRule="auto"/>
              <w:ind w:left="-8" w:firstLine="0"/>
              <w:rPr/>
            </w:pPr>
            <w:r w:rsidDel="00000000" w:rsidR="00000000" w:rsidRPr="00000000">
              <w:rPr>
                <w:rtl w:val="0"/>
              </w:rPr>
              <w:t xml:space="preserve">2.6. „Irányítás”, „Irányított” és „Irányító” olyan jogviszony, amelyben egy személy egy másik személy a magyar Polgári Törvénykönyv (2013. évi V. törvény) 8:2. § szerinti befolyása alatt áll. </w:t>
            </w:r>
          </w:p>
        </w:tc>
        <w:tc>
          <w:tcPr/>
          <w:p w:rsidR="00000000" w:rsidDel="00000000" w:rsidP="00000000" w:rsidRDefault="00000000" w:rsidRPr="00000000" w14:paraId="00000056">
            <w:pPr>
              <w:spacing w:after="0" w:lineRule="auto"/>
              <w:ind w:left="0" w:firstLine="0"/>
              <w:rPr/>
            </w:pPr>
            <w:r w:rsidDel="00000000" w:rsidR="00000000" w:rsidRPr="00000000">
              <w:rPr>
                <w:rtl w:val="0"/>
              </w:rPr>
              <w:t xml:space="preserve">2.6 “Control”, “Controlled” and “Controlling” refers to a relationship in which a person is a controlled person of another person within the meaning of Article 8:2 of the Hungarian Civil Code (Act V of 2013).</w:t>
            </w:r>
          </w:p>
        </w:tc>
      </w:tr>
      <w:tr>
        <w:trPr>
          <w:cantSplit w:val="0"/>
          <w:tblHeader w:val="0"/>
        </w:trPr>
        <w:tc>
          <w:tcPr/>
          <w:p w:rsidR="00000000" w:rsidDel="00000000" w:rsidP="00000000" w:rsidRDefault="00000000" w:rsidRPr="00000000" w14:paraId="00000057">
            <w:pPr>
              <w:spacing w:after="0" w:lineRule="auto"/>
              <w:ind w:left="-8" w:firstLine="0"/>
              <w:rPr/>
            </w:pPr>
            <w:r w:rsidDel="00000000" w:rsidR="00000000" w:rsidRPr="00000000">
              <w:rPr>
                <w:rtl w:val="0"/>
              </w:rPr>
              <w:t xml:space="preserve">2.7. „</w:t>
            </w:r>
            <w:r w:rsidDel="00000000" w:rsidR="00000000" w:rsidRPr="00000000">
              <w:rPr>
                <w:b w:val="1"/>
                <w:bCs w:val="1"/>
                <w:rtl w:val="0"/>
              </w:rPr>
              <w:t xml:space="preserve">Konvertálási Ár”</w:t>
            </w:r>
            <w:r w:rsidDel="00000000" w:rsidR="00000000" w:rsidRPr="00000000">
              <w:rPr>
                <w:rtl w:val="0"/>
              </w:rPr>
              <w:t xml:space="preserve"> jelentése SAFE Ár vagy </w:t>
            </w:r>
            <w:r w:rsidDel="00000000" w:rsidR="00000000" w:rsidRPr="00000000">
              <w:rPr>
                <w:highlight w:val="cyan"/>
                <w:rtl w:val="0"/>
              </w:rPr>
              <w:t xml:space="preserve">Diszkont Ár</w:t>
            </w:r>
            <w:r w:rsidDel="00000000" w:rsidR="00000000" w:rsidRPr="00000000">
              <w:rPr>
                <w:rtl w:val="0"/>
              </w:rPr>
              <w:t xml:space="preserve"> [a megfelelő kiválasztandó].</w:t>
            </w:r>
          </w:p>
        </w:tc>
        <w:tc>
          <w:tcPr/>
          <w:p w:rsidR="00000000" w:rsidDel="00000000" w:rsidP="00000000" w:rsidRDefault="00000000" w:rsidRPr="00000000" w14:paraId="00000058">
            <w:pPr>
              <w:spacing w:after="0" w:lineRule="auto"/>
              <w:ind w:left="0" w:firstLine="0"/>
              <w:rPr/>
            </w:pPr>
            <w:r w:rsidDel="00000000" w:rsidR="00000000" w:rsidRPr="00000000">
              <w:rPr>
                <w:rtl w:val="0"/>
              </w:rPr>
              <w:t xml:space="preserve">2.7 “</w:t>
            </w:r>
            <w:r w:rsidDel="00000000" w:rsidR="00000000" w:rsidRPr="00000000">
              <w:rPr>
                <w:b w:val="1"/>
                <w:bCs w:val="1"/>
                <w:rtl w:val="0"/>
              </w:rPr>
              <w:t xml:space="preserve">Conversion Price</w:t>
            </w:r>
            <w:r w:rsidDel="00000000" w:rsidR="00000000" w:rsidRPr="00000000">
              <w:rPr>
                <w:rtl w:val="0"/>
              </w:rPr>
              <w:t xml:space="preserve">” means the Safe Price / </w:t>
            </w:r>
            <w:r w:rsidDel="00000000" w:rsidR="00000000" w:rsidRPr="00000000">
              <w:rPr>
                <w:highlight w:val="cyan"/>
                <w:rtl w:val="0"/>
              </w:rPr>
              <w:t xml:space="preserve">Discount Price</w:t>
            </w:r>
            <w:r w:rsidDel="00000000" w:rsidR="00000000" w:rsidRPr="00000000">
              <w:rPr>
                <w:rtl w:val="0"/>
              </w:rPr>
              <w:t xml:space="preserve">. [Select the applicable!].</w:t>
            </w:r>
          </w:p>
        </w:tc>
      </w:tr>
      <w:tr>
        <w:trPr>
          <w:cantSplit w:val="0"/>
          <w:tblHeader w:val="0"/>
        </w:trPr>
        <w:tc>
          <w:tcPr/>
          <w:p w:rsidR="00000000" w:rsidDel="00000000" w:rsidP="00000000" w:rsidRDefault="00000000" w:rsidRPr="00000000" w14:paraId="00000059">
            <w:pPr>
              <w:spacing w:after="0" w:lineRule="auto"/>
              <w:ind w:left="-8" w:firstLine="0"/>
              <w:rPr>
                <w:highlight w:val="green"/>
              </w:rPr>
            </w:pPr>
            <w:r w:rsidDel="00000000" w:rsidR="00000000" w:rsidRPr="00000000">
              <w:rPr>
                <w:highlight w:val="green"/>
                <w:rtl w:val="0"/>
              </w:rPr>
              <w:t xml:space="preserve">2.8.</w:t>
            </w:r>
            <w:r w:rsidDel="00000000" w:rsidR="00000000" w:rsidRPr="00000000">
              <w:rPr>
                <w:b w:val="1"/>
                <w:bCs w:val="1"/>
                <w:highlight w:val="green"/>
                <w:rtl w:val="0"/>
              </w:rPr>
              <w:t xml:space="preserve"> „Konvertálható értékpapírok”</w:t>
            </w:r>
            <w:r w:rsidDel="00000000" w:rsidR="00000000" w:rsidRPr="00000000">
              <w:rPr>
                <w:highlight w:val="green"/>
                <w:rtl w:val="0"/>
              </w:rPr>
              <w:t xml:space="preserve"> magukban foglalják a jelen SAFE-et és minden más, a Társaság által kibocsátott konvertálható értékpapírt, ideértve különösen: (i) más SAFE-eket; (ii) konvertálható kötvényeket, konvertálható kölcsönöket és egyéb konvertálható hiteleszközöket; valamint (iii) olyan konvertálható értékpapírokat, amelyek jogot biztosítanak a részesedésre történő konvertálásra.</w:t>
            </w:r>
          </w:p>
        </w:tc>
        <w:tc>
          <w:tcPr/>
          <w:p w:rsidR="00000000" w:rsidDel="00000000" w:rsidP="00000000" w:rsidRDefault="00000000" w:rsidRPr="00000000" w14:paraId="0000005A">
            <w:pPr>
              <w:spacing w:after="0" w:lineRule="auto"/>
              <w:ind w:left="0" w:firstLine="0"/>
              <w:rPr>
                <w:highlight w:val="green"/>
              </w:rPr>
            </w:pPr>
            <w:r w:rsidDel="00000000" w:rsidR="00000000" w:rsidRPr="00000000">
              <w:rPr>
                <w:highlight w:val="green"/>
                <w:rtl w:val="0"/>
              </w:rPr>
              <w:t xml:space="preserve">2.8 “</w:t>
            </w:r>
            <w:r w:rsidDel="00000000" w:rsidR="00000000" w:rsidRPr="00000000">
              <w:rPr>
                <w:b w:val="1"/>
                <w:bCs w:val="1"/>
                <w:highlight w:val="green"/>
                <w:rtl w:val="0"/>
              </w:rPr>
              <w:t xml:space="preserve">Converting Securities</w:t>
            </w:r>
            <w:r w:rsidDel="00000000" w:rsidR="00000000" w:rsidRPr="00000000">
              <w:rPr>
                <w:highlight w:val="green"/>
                <w:rtl w:val="0"/>
              </w:rPr>
              <w:t xml:space="preserve">” includes this Safe and other convertible securities issued by the Company, including but not limited to: (i) other Safes; (ii) convertible promissory notes, convertible loans and other convertible debt instruments; and (iii) convertible securities that have the right to convert into shares of Capital Stock.</w:t>
            </w:r>
            <w:r w:rsidDel="00000000" w:rsidR="00000000" w:rsidRPr="00000000">
              <w:rPr>
                <w:vertAlign w:val="superscript"/>
              </w:rPr>
              <w:footnoteReference w:customMarkFollows="0" w:id="10"/>
            </w:r>
            <w:r w:rsidDel="00000000" w:rsidR="00000000" w:rsidRPr="00000000">
              <w:rPr>
                <w:rtl w:val="0"/>
              </w:rPr>
            </w:r>
          </w:p>
        </w:tc>
      </w:tr>
      <w:tr>
        <w:trPr>
          <w:cantSplit w:val="0"/>
          <w:tblHeader w:val="0"/>
        </w:trPr>
        <w:tc>
          <w:tcPr/>
          <w:p w:rsidR="00000000" w:rsidDel="00000000" w:rsidP="00000000" w:rsidRDefault="00000000" w:rsidRPr="00000000" w14:paraId="0000005B">
            <w:pPr>
              <w:spacing w:after="0" w:lineRule="auto"/>
              <w:ind w:left="-8" w:firstLine="0"/>
              <w:rPr/>
            </w:pPr>
            <w:r w:rsidDel="00000000" w:rsidR="00000000" w:rsidRPr="00000000">
              <w:rPr>
                <w:rtl w:val="0"/>
              </w:rPr>
              <w:t xml:space="preserve">2.9. </w:t>
            </w:r>
            <w:r w:rsidDel="00000000" w:rsidR="00000000" w:rsidRPr="00000000">
              <w:rPr>
                <w:b w:val="1"/>
                <w:bCs w:val="1"/>
                <w:rtl w:val="0"/>
              </w:rPr>
              <w:t xml:space="preserve">„Közvetlen Értéktőzsdei bevezetés”</w:t>
            </w:r>
            <w:r w:rsidDel="00000000" w:rsidR="00000000" w:rsidRPr="00000000">
              <w:rPr>
                <w:rtl w:val="0"/>
              </w:rPr>
              <w:t xml:space="preserve"> a Társaság törzsrészvényeinek első bevezetése nemzeti értéktőzsdére, a Társaság illetékes irányító testületének jóváhagyásával. A félreértések elkerülése végett: a Közvetlen tőzsdei bevezetés nem minősül aláírásos kibocsátásnak, és nem jár együtt aláírási szolgáltatások igénybevételével.</w:t>
            </w:r>
          </w:p>
        </w:tc>
        <w:tc>
          <w:tcPr/>
          <w:p w:rsidR="00000000" w:rsidDel="00000000" w:rsidP="00000000" w:rsidRDefault="00000000" w:rsidRPr="00000000" w14:paraId="0000005C">
            <w:pPr>
              <w:spacing w:after="0" w:lineRule="auto"/>
              <w:ind w:left="0" w:firstLine="0"/>
              <w:rPr/>
            </w:pPr>
            <w:r w:rsidDel="00000000" w:rsidR="00000000" w:rsidRPr="00000000">
              <w:rPr>
                <w:rtl w:val="0"/>
              </w:rPr>
              <w:t xml:space="preserve">2.9 “</w:t>
            </w:r>
            <w:r w:rsidDel="00000000" w:rsidR="00000000" w:rsidRPr="00000000">
              <w:rPr>
                <w:b w:val="1"/>
                <w:bCs w:val="1"/>
                <w:rtl w:val="0"/>
              </w:rPr>
              <w:t xml:space="preserve">Direct Listing</w:t>
            </w:r>
            <w:r w:rsidDel="00000000" w:rsidR="00000000" w:rsidRPr="00000000">
              <w:rPr>
                <w:rtl w:val="0"/>
              </w:rPr>
              <w:t xml:space="preserve">” means the Company’s initial listing of its Common Stock on a national securities exchange, as approved by the relevant governing body of the Company. For the avoidance of doubt, a Direct Listing shall not be deemed to be an underwritten offering and shall not involve any underwriting services.</w:t>
            </w:r>
          </w:p>
        </w:tc>
      </w:tr>
      <w:tr>
        <w:trPr>
          <w:cantSplit w:val="0"/>
          <w:tblHeader w:val="0"/>
        </w:trPr>
        <w:tc>
          <w:tcPr/>
          <w:p w:rsidR="00000000" w:rsidDel="00000000" w:rsidP="00000000" w:rsidRDefault="00000000" w:rsidRPr="00000000" w14:paraId="0000005D">
            <w:pPr>
              <w:spacing w:after="0" w:lineRule="auto"/>
              <w:ind w:left="-8" w:firstLine="0"/>
              <w:rPr>
                <w:highlight w:val="cyan"/>
              </w:rPr>
            </w:pPr>
            <w:r w:rsidDel="00000000" w:rsidR="00000000" w:rsidRPr="00000000">
              <w:rPr>
                <w:highlight w:val="cyan"/>
                <w:rtl w:val="0"/>
              </w:rPr>
              <w:t xml:space="preserve">2.10 </w:t>
            </w:r>
            <w:r w:rsidDel="00000000" w:rsidR="00000000" w:rsidRPr="00000000">
              <w:rPr>
                <w:b w:val="1"/>
                <w:bCs w:val="1"/>
                <w:highlight w:val="cyan"/>
                <w:rtl w:val="0"/>
              </w:rPr>
              <w:t xml:space="preserve">„Diszkont Ár”</w:t>
            </w:r>
            <w:r w:rsidDel="00000000" w:rsidR="00000000" w:rsidRPr="00000000">
              <w:rPr>
                <w:highlight w:val="cyan"/>
                <w:rtl w:val="0"/>
              </w:rPr>
              <w:t xml:space="preserve"> a társaság tőkebevonása során kibocsátott részesedéseinek a Diszkont alkalmazásával megállapított egységára. A Diszkont ár a tőkebevonás során kibocsátott részesedések egységárainak a Diszkont mértékével való megszorzás útján számítható ki.</w:t>
            </w:r>
          </w:p>
        </w:tc>
        <w:tc>
          <w:tcPr/>
          <w:p w:rsidR="00000000" w:rsidDel="00000000" w:rsidP="00000000" w:rsidRDefault="00000000" w:rsidRPr="00000000" w14:paraId="0000005E">
            <w:pPr>
              <w:spacing w:after="0" w:lineRule="auto"/>
              <w:ind w:left="0" w:firstLine="0"/>
              <w:rPr>
                <w:highlight w:val="cyan"/>
              </w:rPr>
            </w:pPr>
            <w:r w:rsidDel="00000000" w:rsidR="00000000" w:rsidRPr="00000000">
              <w:rPr>
                <w:highlight w:val="cyan"/>
                <w:rtl w:val="0"/>
              </w:rPr>
              <w:t xml:space="preserve">2.10 “</w:t>
            </w:r>
            <w:r w:rsidDel="00000000" w:rsidR="00000000" w:rsidRPr="00000000">
              <w:rPr>
                <w:b w:val="1"/>
                <w:bCs w:val="1"/>
                <w:highlight w:val="cyan"/>
                <w:rtl w:val="0"/>
              </w:rPr>
              <w:t xml:space="preserve">Discount Price</w:t>
            </w:r>
            <w:r w:rsidDel="00000000" w:rsidR="00000000" w:rsidRPr="00000000">
              <w:rPr>
                <w:highlight w:val="cyan"/>
                <w:rtl w:val="0"/>
              </w:rPr>
              <w:t xml:space="preserve">” means the price per share of the Standard Preferred Stock issued in the Equity Financing multiplied by the Discount Rate. </w:t>
            </w:r>
            <w:r w:rsidDel="00000000" w:rsidR="00000000" w:rsidRPr="00000000">
              <w:rPr>
                <w:highlight w:val="cyan"/>
                <w:vertAlign w:val="superscript"/>
              </w:rPr>
              <w:footnoteReference w:customMarkFollows="0" w:id="11"/>
            </w:r>
            <w:r w:rsidDel="00000000" w:rsidR="00000000" w:rsidRPr="00000000">
              <w:rPr>
                <w:highlight w:val="cyan"/>
                <w:rtl w:val="0"/>
              </w:rPr>
              <w:t xml:space="preserve"> </w:t>
            </w:r>
          </w:p>
        </w:tc>
      </w:tr>
      <w:tr>
        <w:trPr>
          <w:cantSplit w:val="0"/>
          <w:tblHeader w:val="0"/>
        </w:trPr>
        <w:tc>
          <w:tcPr/>
          <w:p w:rsidR="00000000" w:rsidDel="00000000" w:rsidP="00000000" w:rsidRDefault="00000000" w:rsidRPr="00000000" w14:paraId="0000005F">
            <w:pPr>
              <w:spacing w:after="0" w:lineRule="auto"/>
              <w:ind w:left="-8" w:firstLine="0"/>
              <w:rPr/>
            </w:pPr>
            <w:r w:rsidDel="00000000" w:rsidR="00000000" w:rsidRPr="00000000">
              <w:rPr>
                <w:rtl w:val="0"/>
              </w:rPr>
              <w:t xml:space="preserve">2.11. </w:t>
            </w:r>
            <w:r w:rsidDel="00000000" w:rsidR="00000000" w:rsidRPr="00000000">
              <w:rPr>
                <w:b w:val="1"/>
                <w:bCs w:val="1"/>
                <w:rtl w:val="0"/>
              </w:rPr>
              <w:t xml:space="preserve">„Megszűnési esemény”</w:t>
            </w:r>
            <w:r w:rsidDel="00000000" w:rsidR="00000000" w:rsidRPr="00000000">
              <w:rPr>
                <w:rtl w:val="0"/>
              </w:rPr>
              <w:t xml:space="preserve"> a Társaság vonatkozásában a következők események valamelyikét jelenti: (i) a Társaság működésének önkéntes megszüntetése; (ii) általános vagyonátruházás a Társaság hitelezőinek javára (amennyiben és olyan mértékben, amennyiben ez a jogintézmény a hatályos magyar jog szerint fennáll); vagy (iii) a Társaság bármely más módon történő felszámolása, végelszámolása feloszlása vagy megszűnése (ide nem értve a Likviditási Eseményt), akár önkéntes, akár nem.</w:t>
            </w:r>
          </w:p>
        </w:tc>
        <w:tc>
          <w:tcPr/>
          <w:p w:rsidR="00000000" w:rsidDel="00000000" w:rsidP="00000000" w:rsidRDefault="00000000" w:rsidRPr="00000000" w14:paraId="00000060">
            <w:pPr>
              <w:spacing w:after="0" w:lineRule="auto"/>
              <w:ind w:left="0" w:firstLine="0"/>
              <w:rPr/>
            </w:pPr>
            <w:r w:rsidDel="00000000" w:rsidR="00000000" w:rsidRPr="00000000">
              <w:rPr>
                <w:rtl w:val="0"/>
              </w:rPr>
              <w:t xml:space="preserve">2.11 “</w:t>
            </w:r>
            <w:r w:rsidDel="00000000" w:rsidR="00000000" w:rsidRPr="00000000">
              <w:rPr>
                <w:b w:val="1"/>
                <w:bCs w:val="1"/>
                <w:rtl w:val="0"/>
              </w:rPr>
              <w:t xml:space="preserve">Dissolution Event</w:t>
            </w:r>
            <w:r w:rsidDel="00000000" w:rsidR="00000000" w:rsidRPr="00000000">
              <w:rPr>
                <w:rtl w:val="0"/>
              </w:rPr>
              <w:t xml:space="preserve">” means (i) a voluntary termination of operations, (ii) a general assignment for the benefit of the Company’s creditors (if and to the extent such concept exists under Hungarian law at the relevant time) or (iii) any other liquidation, dissolution or winding up of the Company (excluding a Liquidity Event), whether voluntary or involuntary.</w:t>
            </w:r>
          </w:p>
        </w:tc>
      </w:tr>
      <w:tr>
        <w:trPr>
          <w:cantSplit w:val="0"/>
          <w:tblHeader w:val="0"/>
        </w:trPr>
        <w:tc>
          <w:tcPr/>
          <w:p w:rsidR="00000000" w:rsidDel="00000000" w:rsidP="00000000" w:rsidRDefault="00000000" w:rsidRPr="00000000" w14:paraId="00000061">
            <w:pPr>
              <w:spacing w:after="0" w:lineRule="auto"/>
              <w:ind w:left="-8" w:firstLine="0"/>
              <w:rPr/>
            </w:pPr>
            <w:r w:rsidDel="00000000" w:rsidR="00000000" w:rsidRPr="00000000">
              <w:rPr>
                <w:rtl w:val="0"/>
              </w:rPr>
              <w:t xml:space="preserve">2.12. </w:t>
            </w:r>
            <w:r w:rsidDel="00000000" w:rsidR="00000000" w:rsidRPr="00000000">
              <w:rPr>
                <w:b w:val="1"/>
                <w:bCs w:val="1"/>
                <w:rtl w:val="0"/>
              </w:rPr>
              <w:t xml:space="preserve">„Osztalékösszeg”</w:t>
            </w:r>
            <w:r w:rsidDel="00000000" w:rsidR="00000000" w:rsidRPr="00000000">
              <w:rPr>
                <w:rtl w:val="0"/>
              </w:rPr>
              <w:t xml:space="preserve"> azon összeg, amelyet a társaság a tagok részére osztalék címen juttat. A konvertálást megelőzően a Befektetőt megillető Osztalékösszeg az alábbi képlet alapján kerül kiszámításra: az egy üzletrészre vagy részvényre jutó osztalék összege megszorozva, (x) a befektetett összeg (y) és a likviditási ár (Liquidity Price) hányadosval (az osztalékfizetés napját kizárólag az osztalékösszeg kiszámításának céljából Likviditási Eseményként kell kezelve).</w:t>
            </w:r>
          </w:p>
        </w:tc>
        <w:tc>
          <w:tcPr/>
          <w:p w:rsidR="00000000" w:rsidDel="00000000" w:rsidP="00000000" w:rsidRDefault="00000000" w:rsidRPr="00000000" w14:paraId="00000062">
            <w:pPr>
              <w:spacing w:after="0" w:lineRule="auto"/>
              <w:ind w:left="0" w:firstLine="0"/>
              <w:rPr/>
            </w:pPr>
            <w:r w:rsidDel="00000000" w:rsidR="00000000" w:rsidRPr="00000000">
              <w:rPr>
                <w:rtl w:val="0"/>
              </w:rPr>
              <w:t xml:space="preserve">2.12 “</w:t>
            </w:r>
            <w:r w:rsidDel="00000000" w:rsidR="00000000" w:rsidRPr="00000000">
              <w:rPr>
                <w:b w:val="1"/>
                <w:bCs w:val="1"/>
                <w:rtl w:val="0"/>
              </w:rPr>
              <w:t xml:space="preserve">Dividend Amount</w:t>
            </w:r>
            <w:r w:rsidDel="00000000" w:rsidR="00000000" w:rsidRPr="00000000">
              <w:rPr>
                <w:rtl w:val="0"/>
              </w:rPr>
              <w:t xml:space="preserve">” means, with respect to any date on which the Company pays a dividend on its outstanding Common Stock, the amount of such dividend that is paid per share of Common Stock multiplied by (x) the Purchase Amount divided by (y) the Liquidity Price (treating the dividend date as a Liquidity Event solely for purposes of calculating such Liquidity Price).</w:t>
            </w:r>
          </w:p>
        </w:tc>
      </w:tr>
      <w:tr>
        <w:trPr>
          <w:cantSplit w:val="0"/>
          <w:tblHeader w:val="0"/>
        </w:trPr>
        <w:tc>
          <w:tcPr/>
          <w:p w:rsidR="00000000" w:rsidDel="00000000" w:rsidP="00000000" w:rsidRDefault="00000000" w:rsidRPr="00000000" w14:paraId="00000063">
            <w:pPr>
              <w:spacing w:after="0" w:lineRule="auto"/>
              <w:ind w:left="-8" w:firstLine="0"/>
              <w:rPr/>
            </w:pPr>
            <w:r w:rsidDel="00000000" w:rsidR="00000000" w:rsidRPr="00000000">
              <w:rPr>
                <w:rtl w:val="0"/>
              </w:rPr>
              <w:t xml:space="preserve">2.13. </w:t>
            </w:r>
            <w:r w:rsidDel="00000000" w:rsidR="00000000" w:rsidRPr="00000000">
              <w:rPr>
                <w:b w:val="1"/>
                <w:bCs w:val="1"/>
                <w:rtl w:val="0"/>
              </w:rPr>
              <w:t xml:space="preserve">„Tőkebevonás”</w:t>
            </w:r>
            <w:r w:rsidDel="00000000" w:rsidR="00000000" w:rsidRPr="00000000">
              <w:rPr>
                <w:rtl w:val="0"/>
              </w:rPr>
              <w:t xml:space="preserve"> a Társaság részére történő tőke biztosítására irányuló ügylet vagy ügyletek összessége. A Tőkebevonás keretében a Társaság előre meghatározott értékelés alapján részesedéseket bocsát ki és értékesít. Az alkalmazott értékelés lehet a befektetést előtti („pre-money”) vagy a teljesítését követő („post-money”) értékelés is.</w:t>
            </w:r>
          </w:p>
        </w:tc>
        <w:tc>
          <w:tcPr/>
          <w:p w:rsidR="00000000" w:rsidDel="00000000" w:rsidP="00000000" w:rsidRDefault="00000000" w:rsidRPr="00000000" w14:paraId="00000064">
            <w:pPr>
              <w:spacing w:after="0" w:lineRule="auto"/>
              <w:ind w:left="0" w:firstLine="0"/>
              <w:rPr/>
            </w:pPr>
            <w:r w:rsidDel="00000000" w:rsidR="00000000" w:rsidRPr="00000000">
              <w:rPr>
                <w:rtl w:val="0"/>
              </w:rPr>
              <w:t xml:space="preserve">2.13 “</w:t>
            </w:r>
            <w:r w:rsidDel="00000000" w:rsidR="00000000" w:rsidRPr="00000000">
              <w:rPr>
                <w:b w:val="1"/>
                <w:bCs w:val="1"/>
                <w:rtl w:val="0"/>
              </w:rPr>
              <w:t xml:space="preserve">Equity Financing</w:t>
            </w:r>
            <w:r w:rsidDel="00000000" w:rsidR="00000000" w:rsidRPr="00000000">
              <w:rPr>
                <w:rtl w:val="0"/>
              </w:rPr>
              <w:t xml:space="preserve">” means a bona fide transaction or series of transactions with the principal purpose of raising capital, pursuant to which the Company issues and sells Preferred Stock at a fixed valuation, including but not limited to, a pre-money or post-money valuation.</w:t>
            </w:r>
          </w:p>
        </w:tc>
      </w:tr>
      <w:tr>
        <w:trPr>
          <w:cantSplit w:val="0"/>
          <w:tblHeader w:val="0"/>
        </w:trPr>
        <w:tc>
          <w:tcPr/>
          <w:p w:rsidR="00000000" w:rsidDel="00000000" w:rsidP="00000000" w:rsidRDefault="00000000" w:rsidRPr="00000000" w14:paraId="00000065">
            <w:pPr>
              <w:spacing w:after="0" w:lineRule="auto"/>
              <w:ind w:left="-8" w:firstLine="0"/>
              <w:rPr/>
            </w:pPr>
            <w:r w:rsidDel="00000000" w:rsidR="00000000" w:rsidRPr="00000000">
              <w:rPr>
                <w:rtl w:val="0"/>
              </w:rPr>
              <w:t xml:space="preserve">2.14. </w:t>
            </w:r>
            <w:r w:rsidDel="00000000" w:rsidR="00000000" w:rsidRPr="00000000">
              <w:rPr>
                <w:b w:val="1"/>
                <w:bCs w:val="1"/>
                <w:rtl w:val="0"/>
              </w:rPr>
              <w:t xml:space="preserve">„Első nyilvános részvénykibocsátás (IPO)”</w:t>
            </w:r>
            <w:r w:rsidDel="00000000" w:rsidR="00000000" w:rsidRPr="00000000">
              <w:rPr>
                <w:rtl w:val="0"/>
              </w:rPr>
              <w:t xml:space="preserve"> A Társaság tulajdonosi részesedéseinek nyilvános tőkepiaci bevezetése az alkalmazandó jogszabályok – különösen a tőkepiacról szóló 2001. évi CXX. törvény – szerinti nyilvános kibocsátási tájékoztató alapján.</w:t>
            </w:r>
          </w:p>
        </w:tc>
        <w:tc>
          <w:tcPr/>
          <w:p w:rsidR="00000000" w:rsidDel="00000000" w:rsidP="00000000" w:rsidRDefault="00000000" w:rsidRPr="00000000" w14:paraId="00000066">
            <w:pPr>
              <w:spacing w:after="0" w:lineRule="auto"/>
              <w:ind w:left="0" w:firstLine="0"/>
              <w:rPr/>
            </w:pPr>
            <w:r w:rsidDel="00000000" w:rsidR="00000000" w:rsidRPr="00000000">
              <w:rPr>
                <w:rtl w:val="0"/>
              </w:rPr>
              <w:t xml:space="preserve">2.14 “</w:t>
            </w:r>
            <w:r w:rsidDel="00000000" w:rsidR="00000000" w:rsidRPr="00000000">
              <w:rPr>
                <w:b w:val="1"/>
                <w:bCs w:val="1"/>
                <w:rtl w:val="0"/>
              </w:rPr>
              <w:t xml:space="preserve">Initial Public Offering</w:t>
            </w:r>
            <w:r w:rsidDel="00000000" w:rsidR="00000000" w:rsidRPr="00000000">
              <w:rPr>
                <w:rtl w:val="0"/>
              </w:rPr>
              <w:t xml:space="preserve">” means the closing of the Company’s first firm commitment underwritten initial public offering of Common Stock pursuant to a registration statement filed under the Securities Act or pursuant to other applicable laws and regulations.</w:t>
            </w:r>
          </w:p>
        </w:tc>
      </w:tr>
      <w:tr>
        <w:trPr>
          <w:cantSplit w:val="0"/>
          <w:tblHeader w:val="0"/>
        </w:trPr>
        <w:tc>
          <w:tcPr/>
          <w:p w:rsidR="00000000" w:rsidDel="00000000" w:rsidP="00000000" w:rsidRDefault="00000000" w:rsidRPr="00000000" w14:paraId="00000067">
            <w:pPr>
              <w:spacing w:after="0" w:lineRule="auto"/>
              <w:ind w:left="-8" w:firstLine="0"/>
              <w:rPr>
                <w:highlight w:val="green"/>
              </w:rPr>
            </w:pPr>
            <w:r w:rsidDel="00000000" w:rsidR="00000000" w:rsidRPr="00000000">
              <w:rPr>
                <w:highlight w:val="green"/>
                <w:rtl w:val="0"/>
              </w:rPr>
              <w:t xml:space="preserve">2.15. </w:t>
            </w:r>
            <w:r w:rsidDel="00000000" w:rsidR="00000000" w:rsidRPr="00000000">
              <w:rPr>
                <w:b w:val="1"/>
                <w:bCs w:val="1"/>
                <w:highlight w:val="green"/>
                <w:rtl w:val="0"/>
              </w:rPr>
              <w:t xml:space="preserve">„Likviditási tőkésítés”</w:t>
            </w:r>
            <w:r w:rsidDel="00000000" w:rsidR="00000000" w:rsidRPr="00000000">
              <w:rPr>
                <w:highlight w:val="green"/>
                <w:rtl w:val="0"/>
              </w:rPr>
              <w:t xml:space="preserve"> a likviditási eseményt közvetlenül megelőző időpontra vonatkozóan kerül meghatározásra, kettős beszámítás kizárásával, figyelembe véve a részesedésre történő konvertálást. Az alábbiakat foglalja magában:</w:t>
            </w:r>
          </w:p>
        </w:tc>
        <w:tc>
          <w:tcPr/>
          <w:p w:rsidR="00000000" w:rsidDel="00000000" w:rsidP="00000000" w:rsidRDefault="00000000" w:rsidRPr="00000000" w14:paraId="00000068">
            <w:pPr>
              <w:spacing w:after="0" w:lineRule="auto"/>
              <w:ind w:left="0" w:firstLine="0"/>
              <w:rPr>
                <w:highlight w:val="green"/>
              </w:rPr>
            </w:pPr>
            <w:r w:rsidDel="00000000" w:rsidR="00000000" w:rsidRPr="00000000">
              <w:rPr>
                <w:highlight w:val="green"/>
                <w:rtl w:val="0"/>
              </w:rPr>
              <w:t xml:space="preserve">2.15 “</w:t>
            </w:r>
            <w:r w:rsidDel="00000000" w:rsidR="00000000" w:rsidRPr="00000000">
              <w:rPr>
                <w:b w:val="1"/>
                <w:bCs w:val="1"/>
                <w:highlight w:val="green"/>
                <w:rtl w:val="0"/>
              </w:rPr>
              <w:t xml:space="preserve">Liquidity Capitalization</w:t>
            </w:r>
            <w:r w:rsidDel="00000000" w:rsidR="00000000" w:rsidRPr="00000000">
              <w:rPr>
                <w:highlight w:val="green"/>
                <w:rtl w:val="0"/>
              </w:rPr>
              <w:t xml:space="preserve">” is calculated as of immediately prior to the Liquidity Event, and (without double- counting, in each case calculated on an as-converted to Common Stock basis):</w:t>
            </w:r>
          </w:p>
        </w:tc>
      </w:tr>
      <w:tr>
        <w:trPr>
          <w:cantSplit w:val="0"/>
          <w:tblHeader w:val="0"/>
        </w:trPr>
        <w:tc>
          <w:tcPr/>
          <w:p w:rsidR="00000000" w:rsidDel="00000000" w:rsidP="00000000" w:rsidRDefault="00000000" w:rsidRPr="00000000" w14:paraId="00000069">
            <w:pPr>
              <w:keepLines w:val="1"/>
              <w:spacing w:after="0" w:lineRule="auto"/>
              <w:ind w:hanging="11"/>
              <w:rPr>
                <w:highlight w:val="green"/>
              </w:rPr>
            </w:pPr>
            <w:r w:rsidDel="00000000" w:rsidR="00000000" w:rsidRPr="00000000">
              <w:rPr>
                <w:highlight w:val="green"/>
                <w:rtl w:val="0"/>
              </w:rPr>
              <w:t xml:space="preserve">2.15.1. az összes kibocsátott és forgalomban lévő részesedés;</w:t>
            </w:r>
          </w:p>
        </w:tc>
        <w:tc>
          <w:tcPr/>
          <w:p w:rsidR="00000000" w:rsidDel="00000000" w:rsidP="00000000" w:rsidRDefault="00000000" w:rsidRPr="00000000" w14:paraId="0000006A">
            <w:pPr>
              <w:spacing w:after="0" w:lineRule="auto"/>
              <w:ind w:left="0" w:firstLine="0"/>
              <w:rPr>
                <w:highlight w:val="green"/>
              </w:rPr>
            </w:pPr>
            <w:r w:rsidDel="00000000" w:rsidR="00000000" w:rsidRPr="00000000">
              <w:rPr>
                <w:highlight w:val="green"/>
                <w:rtl w:val="0"/>
              </w:rPr>
              <w:t xml:space="preserve">2.15.1 Includes all shares of Capital Stock issued and outstanding;</w:t>
            </w:r>
          </w:p>
        </w:tc>
      </w:tr>
      <w:tr>
        <w:trPr>
          <w:cantSplit w:val="0"/>
          <w:tblHeader w:val="0"/>
        </w:trPr>
        <w:tc>
          <w:tcPr/>
          <w:p w:rsidR="00000000" w:rsidDel="00000000" w:rsidP="00000000" w:rsidRDefault="00000000" w:rsidRPr="00000000" w14:paraId="0000006B">
            <w:pPr>
              <w:keepLines w:val="1"/>
              <w:spacing w:after="0" w:lineRule="auto"/>
              <w:ind w:left="-8" w:hanging="11"/>
              <w:rPr>
                <w:highlight w:val="green"/>
              </w:rPr>
            </w:pPr>
            <w:r w:rsidDel="00000000" w:rsidR="00000000" w:rsidRPr="00000000">
              <w:rPr>
                <w:highlight w:val="green"/>
                <w:rtl w:val="0"/>
              </w:rPr>
              <w:t xml:space="preserve">2.15.2. az összes kibocsátott és forgalomban lévő opció, valamint az ígért opciók azon része, amelyek a Likviditási Eseményből származó bevételben részesülnek;</w:t>
            </w:r>
          </w:p>
        </w:tc>
        <w:tc>
          <w:tcPr/>
          <w:p w:rsidR="00000000" w:rsidDel="00000000" w:rsidP="00000000" w:rsidRDefault="00000000" w:rsidRPr="00000000" w14:paraId="0000006C">
            <w:pPr>
              <w:spacing w:after="0" w:lineRule="auto"/>
              <w:ind w:left="0" w:firstLine="0"/>
              <w:rPr>
                <w:highlight w:val="green"/>
              </w:rPr>
            </w:pPr>
            <w:r w:rsidDel="00000000" w:rsidR="00000000" w:rsidRPr="00000000">
              <w:rPr>
                <w:highlight w:val="green"/>
                <w:rtl w:val="0"/>
              </w:rPr>
              <w:t xml:space="preserve">2.15.2 Includes all (i) issued and outstanding Options and (ii) to the extent receiving Proceeds, Promised Options;</w:t>
            </w:r>
          </w:p>
        </w:tc>
      </w:tr>
      <w:tr>
        <w:trPr>
          <w:cantSplit w:val="0"/>
          <w:tblHeader w:val="0"/>
        </w:trPr>
        <w:tc>
          <w:tcPr/>
          <w:p w:rsidR="00000000" w:rsidDel="00000000" w:rsidP="00000000" w:rsidRDefault="00000000" w:rsidRPr="00000000" w14:paraId="0000006D">
            <w:pPr>
              <w:keepLines w:val="1"/>
              <w:spacing w:after="0" w:lineRule="auto"/>
              <w:ind w:left="-8" w:hanging="11"/>
              <w:rPr>
                <w:highlight w:val="green"/>
              </w:rPr>
            </w:pPr>
            <w:r w:rsidDel="00000000" w:rsidR="00000000" w:rsidRPr="00000000">
              <w:rPr>
                <w:highlight w:val="green"/>
                <w:rtl w:val="0"/>
              </w:rPr>
              <w:t xml:space="preserve">2.15.3. az összes konvertálható értékpapír, kivéve azokat a SAFE-eket és egyéb konvertálható értékpapírokat (ideértve, de nem kizárólag az elsőbbségi jogokat biztosító részesedéseket), amelyek jogosultjai Cash-Out Összeget vagy ahhoz hasonló, likviditási elsőbbségi kifizetést kapnak a Konvertálási Összeg vagy ahhoz hasonló „konvertálás szerinti” kifizetés helyett, illetve azok helyébe lépve; és</w:t>
            </w:r>
          </w:p>
        </w:tc>
        <w:tc>
          <w:tcPr/>
          <w:p w:rsidR="00000000" w:rsidDel="00000000" w:rsidP="00000000" w:rsidRDefault="00000000" w:rsidRPr="00000000" w14:paraId="0000006E">
            <w:pPr>
              <w:spacing w:after="0" w:lineRule="auto"/>
              <w:ind w:left="0" w:firstLine="0"/>
              <w:rPr>
                <w:highlight w:val="green"/>
              </w:rPr>
            </w:pPr>
            <w:r w:rsidDel="00000000" w:rsidR="00000000" w:rsidRPr="00000000">
              <w:rPr>
                <w:highlight w:val="green"/>
                <w:rtl w:val="0"/>
              </w:rPr>
              <w:t xml:space="preserve">2.15.3 Includes all Converting Securities, other than any Safes and other convertible securities (including without limitation shares of Preferred Stock) where the holders of such securities are receiving Cash-Out Amounts or similar liquidation preference payments in lieu of Conversion Amounts or similar “as-converted” payments; and</w:t>
            </w:r>
          </w:p>
        </w:tc>
      </w:tr>
      <w:tr>
        <w:trPr>
          <w:cantSplit w:val="0"/>
          <w:tblHeader w:val="0"/>
        </w:trPr>
        <w:tc>
          <w:tcPr/>
          <w:p w:rsidR="00000000" w:rsidDel="00000000" w:rsidP="00000000" w:rsidRDefault="00000000" w:rsidRPr="00000000" w14:paraId="0000006F">
            <w:pPr>
              <w:spacing w:after="0" w:lineRule="auto"/>
              <w:ind w:left="-8" w:firstLine="0"/>
              <w:rPr>
                <w:highlight w:val="green"/>
              </w:rPr>
            </w:pPr>
            <w:r w:rsidDel="00000000" w:rsidR="00000000" w:rsidRPr="00000000">
              <w:rPr>
                <w:highlight w:val="green"/>
                <w:rtl w:val="0"/>
              </w:rPr>
              <w:t xml:space="preserve">2.15.4. a még ki nem bocsátott Opciós Keretet nem tartalmazza.</w:t>
            </w:r>
          </w:p>
        </w:tc>
        <w:tc>
          <w:tcPr/>
          <w:p w:rsidR="00000000" w:rsidDel="00000000" w:rsidP="00000000" w:rsidRDefault="00000000" w:rsidRPr="00000000" w14:paraId="00000070">
            <w:pPr>
              <w:spacing w:after="0" w:lineRule="auto"/>
              <w:ind w:left="0" w:firstLine="0"/>
              <w:rPr>
                <w:highlight w:val="green"/>
              </w:rPr>
            </w:pPr>
            <w:r w:rsidDel="00000000" w:rsidR="00000000" w:rsidRPr="00000000">
              <w:rPr>
                <w:highlight w:val="green"/>
                <w:rtl w:val="0"/>
              </w:rPr>
              <w:t xml:space="preserve">2.15.4 Excludes the Unissued Option Pool.</w:t>
            </w:r>
            <w:r w:rsidDel="00000000" w:rsidR="00000000" w:rsidRPr="00000000">
              <w:rPr>
                <w:highlight w:val="green"/>
                <w:vertAlign w:val="superscript"/>
              </w:rPr>
              <w:footnoteReference w:customMarkFollows="0" w:id="12"/>
            </w:r>
            <w:r w:rsidDel="00000000" w:rsidR="00000000" w:rsidRPr="00000000">
              <w:rPr>
                <w:rtl w:val="0"/>
              </w:rPr>
            </w:r>
          </w:p>
        </w:tc>
      </w:tr>
      <w:tr>
        <w:trPr>
          <w:cantSplit w:val="0"/>
          <w:tblHeader w:val="0"/>
        </w:trPr>
        <w:tc>
          <w:tcPr/>
          <w:p w:rsidR="00000000" w:rsidDel="00000000" w:rsidP="00000000" w:rsidRDefault="00000000" w:rsidRPr="00000000" w14:paraId="00000071">
            <w:pPr>
              <w:spacing w:after="0" w:lineRule="auto"/>
              <w:ind w:left="-8" w:firstLine="0"/>
              <w:rPr/>
            </w:pPr>
            <w:r w:rsidDel="00000000" w:rsidR="00000000" w:rsidRPr="00000000">
              <w:rPr>
                <w:rtl w:val="0"/>
              </w:rPr>
              <w:t xml:space="preserve">2.1.6 </w:t>
            </w:r>
            <w:r w:rsidDel="00000000" w:rsidR="00000000" w:rsidRPr="00000000">
              <w:rPr>
                <w:b w:val="1"/>
                <w:bCs w:val="1"/>
                <w:rtl w:val="0"/>
              </w:rPr>
              <w:t xml:space="preserve">„Likviditási esemény”</w:t>
            </w:r>
            <w:r w:rsidDel="00000000" w:rsidR="00000000" w:rsidRPr="00000000">
              <w:rPr>
                <w:rtl w:val="0"/>
              </w:rPr>
              <w:t xml:space="preserve"> a tulajdonosi kör, illetve a tényleges irányítását érintő változás, továbbá a közvetlen tőzsdei bevezetés vagy az első nyilvános részvénykibocsátás (IPO).</w:t>
            </w:r>
          </w:p>
        </w:tc>
        <w:tc>
          <w:tcPr/>
          <w:p w:rsidR="00000000" w:rsidDel="00000000" w:rsidP="00000000" w:rsidRDefault="00000000" w:rsidRPr="00000000" w14:paraId="00000072">
            <w:pPr>
              <w:spacing w:after="0" w:lineRule="auto"/>
              <w:ind w:left="0" w:firstLine="0"/>
              <w:rPr/>
            </w:pPr>
            <w:r w:rsidDel="00000000" w:rsidR="00000000" w:rsidRPr="00000000">
              <w:rPr>
                <w:rtl w:val="0"/>
              </w:rPr>
              <w:t xml:space="preserve">2.16 “</w:t>
            </w:r>
            <w:r w:rsidDel="00000000" w:rsidR="00000000" w:rsidRPr="00000000">
              <w:rPr>
                <w:b w:val="1"/>
                <w:bCs w:val="1"/>
                <w:rtl w:val="0"/>
              </w:rPr>
              <w:t xml:space="preserve">Liquidity Event</w:t>
            </w:r>
            <w:r w:rsidDel="00000000" w:rsidR="00000000" w:rsidRPr="00000000">
              <w:rPr>
                <w:rtl w:val="0"/>
              </w:rPr>
              <w:t xml:space="preserve">” means a Change of Control, a Direct Listing or an Initial Public Offering.</w:t>
            </w:r>
          </w:p>
        </w:tc>
      </w:tr>
      <w:tr>
        <w:trPr>
          <w:cantSplit w:val="0"/>
          <w:tblHeader w:val="0"/>
        </w:trPr>
        <w:tc>
          <w:tcPr/>
          <w:p w:rsidR="00000000" w:rsidDel="00000000" w:rsidP="00000000" w:rsidRDefault="00000000" w:rsidRPr="00000000" w14:paraId="00000073">
            <w:pPr>
              <w:spacing w:after="0" w:lineRule="auto"/>
              <w:ind w:left="-8" w:firstLine="0"/>
              <w:rPr>
                <w:highlight w:val="green"/>
              </w:rPr>
            </w:pPr>
            <w:r w:rsidDel="00000000" w:rsidR="00000000" w:rsidRPr="00000000">
              <w:rPr>
                <w:highlight w:val="green"/>
                <w:rtl w:val="0"/>
              </w:rPr>
              <w:t xml:space="preserve">2.1.7 </w:t>
            </w:r>
            <w:r w:rsidDel="00000000" w:rsidR="00000000" w:rsidRPr="00000000">
              <w:rPr>
                <w:b w:val="1"/>
                <w:bCs w:val="1"/>
                <w:highlight w:val="green"/>
                <w:rtl w:val="0"/>
              </w:rPr>
              <w:t xml:space="preserve">„Likviditási Ár”</w:t>
            </w:r>
            <w:r w:rsidDel="00000000" w:rsidR="00000000" w:rsidRPr="00000000">
              <w:rPr>
                <w:highlight w:val="green"/>
                <w:rtl w:val="0"/>
              </w:rPr>
              <w:t xml:space="preserve"> az egy részesedésre jutó ár, amely egyenlő a Post-money értékelési plafon és a Likviditási Tőkésítés hányadosával.</w:t>
            </w:r>
          </w:p>
        </w:tc>
        <w:tc>
          <w:tcPr/>
          <w:p w:rsidR="00000000" w:rsidDel="00000000" w:rsidP="00000000" w:rsidRDefault="00000000" w:rsidRPr="00000000" w14:paraId="00000074">
            <w:pPr>
              <w:spacing w:after="0" w:lineRule="auto"/>
              <w:ind w:left="0" w:firstLine="0"/>
              <w:rPr>
                <w:highlight w:val="green"/>
              </w:rPr>
            </w:pPr>
            <w:r w:rsidDel="00000000" w:rsidR="00000000" w:rsidRPr="00000000">
              <w:rPr>
                <w:highlight w:val="green"/>
                <w:rtl w:val="0"/>
              </w:rPr>
              <w:t xml:space="preserve">2.17 “</w:t>
            </w:r>
            <w:r w:rsidDel="00000000" w:rsidR="00000000" w:rsidRPr="00000000">
              <w:rPr>
                <w:b w:val="1"/>
                <w:bCs w:val="1"/>
                <w:highlight w:val="green"/>
                <w:rtl w:val="0"/>
              </w:rPr>
              <w:t xml:space="preserve">Liquidity Price</w:t>
            </w:r>
            <w:r w:rsidDel="00000000" w:rsidR="00000000" w:rsidRPr="00000000">
              <w:rPr>
                <w:highlight w:val="green"/>
                <w:rtl w:val="0"/>
              </w:rPr>
              <w:t xml:space="preserve">” means the price per share equal to the Post-Money Valuation Cap divided by the Liquidity Capitalization.</w:t>
            </w:r>
            <w:r w:rsidDel="00000000" w:rsidR="00000000" w:rsidRPr="00000000">
              <w:rPr>
                <w:highlight w:val="green"/>
                <w:vertAlign w:val="superscript"/>
              </w:rPr>
              <w:footnoteReference w:customMarkFollows="0" w:id="13"/>
            </w:r>
            <w:r w:rsidDel="00000000" w:rsidR="00000000" w:rsidRPr="00000000">
              <w:rPr>
                <w:rtl w:val="0"/>
              </w:rPr>
            </w:r>
          </w:p>
        </w:tc>
      </w:tr>
      <w:tr>
        <w:trPr>
          <w:cantSplit w:val="0"/>
          <w:tblHeader w:val="0"/>
        </w:trPr>
        <w:tc>
          <w:tcPr/>
          <w:p w:rsidR="00000000" w:rsidDel="00000000" w:rsidP="00000000" w:rsidRDefault="00000000" w:rsidRPr="00000000" w14:paraId="00000075">
            <w:pPr>
              <w:spacing w:after="0" w:lineRule="auto"/>
              <w:ind w:left="-8" w:firstLine="0"/>
              <w:rPr>
                <w:highlight w:val="cyan"/>
              </w:rPr>
            </w:pPr>
            <w:r w:rsidDel="00000000" w:rsidR="00000000" w:rsidRPr="00000000">
              <w:rPr>
                <w:highlight w:val="cyan"/>
                <w:rtl w:val="0"/>
              </w:rPr>
              <w:t xml:space="preserve">2.1.8 </w:t>
            </w:r>
            <w:r w:rsidDel="00000000" w:rsidR="00000000" w:rsidRPr="00000000">
              <w:rPr>
                <w:b w:val="1"/>
                <w:bCs w:val="1"/>
                <w:highlight w:val="cyan"/>
                <w:rtl w:val="0"/>
              </w:rPr>
              <w:t xml:space="preserve">„Likviditási Ár”</w:t>
            </w:r>
            <w:r w:rsidDel="00000000" w:rsidR="00000000" w:rsidRPr="00000000">
              <w:rPr>
                <w:highlight w:val="cyan"/>
                <w:rtl w:val="0"/>
              </w:rPr>
              <w:t xml:space="preserve"> továbbá jelentheti a részesedés Likviditási Esemény időpontjában fennálló, tényleges piaci értékét, amelyet a Likviditási Eseménnyel összefüggésben fizetendő vételár alapján kell meghatározni, megszorozva a Diszkont mértékével.</w:t>
            </w:r>
          </w:p>
        </w:tc>
        <w:tc>
          <w:tcPr/>
          <w:p w:rsidR="00000000" w:rsidDel="00000000" w:rsidP="00000000" w:rsidRDefault="00000000" w:rsidRPr="00000000" w14:paraId="00000076">
            <w:pPr>
              <w:spacing w:after="0" w:lineRule="auto"/>
              <w:ind w:left="0" w:firstLine="0"/>
              <w:rPr>
                <w:highlight w:val="cyan"/>
              </w:rPr>
            </w:pPr>
            <w:r w:rsidDel="00000000" w:rsidR="00000000" w:rsidRPr="00000000">
              <w:rPr>
                <w:highlight w:val="cyan"/>
                <w:rtl w:val="0"/>
              </w:rPr>
              <w:t xml:space="preserve">2.18 “</w:t>
            </w:r>
            <w:r w:rsidDel="00000000" w:rsidR="00000000" w:rsidRPr="00000000">
              <w:rPr>
                <w:b w:val="1"/>
                <w:bCs w:val="1"/>
                <w:highlight w:val="cyan"/>
                <w:rtl w:val="0"/>
              </w:rPr>
              <w:t xml:space="preserve">Liquidity Price</w:t>
            </w:r>
            <w:r w:rsidDel="00000000" w:rsidR="00000000" w:rsidRPr="00000000">
              <w:rPr>
                <w:highlight w:val="cyan"/>
                <w:rtl w:val="0"/>
              </w:rPr>
              <w:t xml:space="preserve">” means the price per share equal to the fair market value of the Common Stock at the time of the Liquidity Event. as determined by reference to the purchase price payable in connection with such Liquidity Event multiplied by the Discount Rate.</w:t>
            </w:r>
            <w:r w:rsidDel="00000000" w:rsidR="00000000" w:rsidRPr="00000000">
              <w:rPr>
                <w:highlight w:val="cyan"/>
                <w:vertAlign w:val="superscript"/>
              </w:rPr>
              <w:footnoteReference w:customMarkFollows="0" w:id="14"/>
            </w:r>
            <w:r w:rsidDel="00000000" w:rsidR="00000000" w:rsidRPr="00000000">
              <w:rPr>
                <w:rtl w:val="0"/>
              </w:rPr>
            </w:r>
          </w:p>
        </w:tc>
      </w:tr>
      <w:tr>
        <w:trPr>
          <w:cantSplit w:val="0"/>
          <w:tblHeader w:val="0"/>
        </w:trPr>
        <w:tc>
          <w:tcPr/>
          <w:p w:rsidR="00000000" w:rsidDel="00000000" w:rsidP="00000000" w:rsidRDefault="00000000" w:rsidRPr="00000000" w14:paraId="00000077">
            <w:pPr>
              <w:spacing w:after="0" w:lineRule="auto"/>
              <w:ind w:left="-8" w:firstLine="0"/>
              <w:rPr>
                <w:shd w:fill="ff9900" w:val="clear"/>
              </w:rPr>
            </w:pPr>
            <w:r w:rsidDel="00000000" w:rsidR="00000000" w:rsidRPr="00000000">
              <w:rPr>
                <w:shd w:fill="ff9900" w:val="clear"/>
                <w:rtl w:val="0"/>
              </w:rPr>
              <w:t xml:space="preserve">2.19. </w:t>
            </w:r>
            <w:r w:rsidDel="00000000" w:rsidR="00000000" w:rsidRPr="00000000">
              <w:rPr>
                <w:b w:val="1"/>
                <w:bCs w:val="1"/>
                <w:shd w:fill="ff9900" w:val="clear"/>
                <w:rtl w:val="0"/>
              </w:rPr>
              <w:t xml:space="preserve">„Likviditási Ár”</w:t>
            </w:r>
            <w:r w:rsidDel="00000000" w:rsidR="00000000" w:rsidRPr="00000000">
              <w:rPr>
                <w:shd w:fill="ff9900" w:val="clear"/>
                <w:rtl w:val="0"/>
              </w:rPr>
              <w:t xml:space="preserve"> alatt érthető továbbá a részesedés az adott Likviditási Esemény időpontjában fennálló tényleges piaci értéke, amelyet a likviditási eseménnyel összefüggésben fizetendő vételár alapján kell meghatározni.</w:t>
            </w:r>
          </w:p>
        </w:tc>
        <w:tc>
          <w:tcPr/>
          <w:p w:rsidR="00000000" w:rsidDel="00000000" w:rsidP="00000000" w:rsidRDefault="00000000" w:rsidRPr="00000000" w14:paraId="00000078">
            <w:pPr>
              <w:spacing w:after="0" w:lineRule="auto"/>
              <w:ind w:left="0" w:firstLine="0"/>
              <w:rPr>
                <w:shd w:fill="ff9900" w:val="clear"/>
              </w:rPr>
            </w:pPr>
            <w:r w:rsidDel="00000000" w:rsidR="00000000" w:rsidRPr="00000000">
              <w:rPr>
                <w:shd w:fill="ff9900" w:val="clear"/>
                <w:rtl w:val="0"/>
              </w:rPr>
              <w:t xml:space="preserve">2.19 “</w:t>
            </w:r>
            <w:r w:rsidDel="00000000" w:rsidR="00000000" w:rsidRPr="00000000">
              <w:rPr>
                <w:b w:val="1"/>
                <w:bCs w:val="1"/>
                <w:shd w:fill="ff9900" w:val="clear"/>
                <w:rtl w:val="0"/>
              </w:rPr>
              <w:t xml:space="preserve">Liquidity Price</w:t>
            </w:r>
            <w:r w:rsidDel="00000000" w:rsidR="00000000" w:rsidRPr="00000000">
              <w:rPr>
                <w:shd w:fill="ff9900" w:val="clear"/>
                <w:rtl w:val="0"/>
              </w:rPr>
              <w:t xml:space="preserve">” means the fair market value of the Common Stock at the time of the applicable Liquidity Event (determined by reference to the purchase price payable in connection with such Liquidity Event.</w:t>
            </w:r>
            <w:r w:rsidDel="00000000" w:rsidR="00000000" w:rsidRPr="00000000">
              <w:rPr>
                <w:shd w:fill="ff9900" w:val="clear"/>
                <w:vertAlign w:val="superscript"/>
              </w:rPr>
              <w:footnoteReference w:customMarkFollows="0" w:id="15"/>
            </w:r>
            <w:r w:rsidDel="00000000" w:rsidR="00000000" w:rsidRPr="00000000">
              <w:rPr>
                <w:shd w:fill="ff9900" w:val="clear"/>
                <w:rtl w:val="0"/>
              </w:rPr>
              <w:t xml:space="preserve">)</w:t>
            </w:r>
          </w:p>
        </w:tc>
      </w:tr>
      <w:tr>
        <w:trPr>
          <w:cantSplit w:val="0"/>
          <w:tblHeader w:val="0"/>
        </w:trPr>
        <w:tc>
          <w:tcPr/>
          <w:p w:rsidR="00000000" w:rsidDel="00000000" w:rsidP="00000000" w:rsidRDefault="00000000" w:rsidRPr="00000000" w14:paraId="00000079">
            <w:pPr>
              <w:spacing w:after="0" w:lineRule="auto"/>
              <w:ind w:left="-8" w:firstLine="0"/>
              <w:rPr>
                <w:highlight w:val="green"/>
              </w:rPr>
            </w:pPr>
            <w:r w:rsidDel="00000000" w:rsidR="00000000" w:rsidRPr="00000000">
              <w:rPr>
                <w:highlight w:val="green"/>
                <w:rtl w:val="0"/>
              </w:rPr>
              <w:t xml:space="preserve">2.20. „Opciók” magukban foglalják részesedésre vonatkozó opciós jogokat, a korlátozott juttatásokat vagy vásárlásokat, valamint – amennyiben alkalmazható – a jövőbeni részesedére vonatkozó jogosultságokat, például:</w:t>
            </w:r>
          </w:p>
        </w:tc>
        <w:tc>
          <w:tcPr/>
          <w:p w:rsidR="00000000" w:rsidDel="00000000" w:rsidP="00000000" w:rsidRDefault="00000000" w:rsidRPr="00000000" w14:paraId="0000007A">
            <w:pPr>
              <w:spacing w:after="0" w:lineRule="auto"/>
              <w:ind w:left="0" w:firstLine="0"/>
              <w:rPr>
                <w:highlight w:val="green"/>
              </w:rPr>
            </w:pPr>
            <w:r w:rsidDel="00000000" w:rsidR="00000000" w:rsidRPr="00000000">
              <w:rPr>
                <w:highlight w:val="green"/>
                <w:rtl w:val="0"/>
              </w:rPr>
              <w:t xml:space="preserve">2.20 “Options” includes options, restricted stock awards or purchases, and if applicable</w:t>
            </w:r>
            <w:r w:rsidDel="00000000" w:rsidR="00000000" w:rsidRPr="00000000">
              <w:rPr>
                <w:highlight w:val="green"/>
                <w:vertAlign w:val="superscript"/>
              </w:rPr>
              <w:footnoteReference w:customMarkFollows="0" w:id="16"/>
            </w:r>
            <w:r w:rsidDel="00000000" w:rsidR="00000000" w:rsidRPr="00000000">
              <w:rPr>
                <w:rtl w:val="0"/>
              </w:rPr>
            </w:r>
          </w:p>
        </w:tc>
      </w:tr>
      <w:tr>
        <w:trPr>
          <w:cantSplit w:val="0"/>
          <w:tblHeader w:val="0"/>
        </w:trPr>
        <w:tc>
          <w:tcPr/>
          <w:p w:rsidR="00000000" w:rsidDel="00000000" w:rsidP="00000000" w:rsidRDefault="00000000" w:rsidRPr="00000000" w14:paraId="0000007B">
            <w:pPr>
              <w:keepLines w:val="1"/>
              <w:spacing w:after="0" w:lineRule="auto"/>
              <w:ind w:hanging="8"/>
              <w:rPr/>
            </w:pPr>
            <w:r w:rsidDel="00000000" w:rsidR="00000000" w:rsidRPr="00000000">
              <w:rPr>
                <w:rtl w:val="0"/>
              </w:rPr>
              <w:t xml:space="preserve">2.20.1. RSU-k (korlátozott részesedési egységek),</w:t>
            </w:r>
          </w:p>
        </w:tc>
        <w:tc>
          <w:tcPr/>
          <w:p w:rsidR="00000000" w:rsidDel="00000000" w:rsidP="00000000" w:rsidRDefault="00000000" w:rsidRPr="00000000" w14:paraId="0000007C">
            <w:pPr>
              <w:spacing w:after="0" w:lineRule="auto"/>
              <w:ind w:left="0" w:firstLine="0"/>
              <w:rPr/>
            </w:pPr>
            <w:r w:rsidDel="00000000" w:rsidR="00000000" w:rsidRPr="00000000">
              <w:rPr>
                <w:rtl w:val="0"/>
              </w:rPr>
              <w:t xml:space="preserve">2.20.1 RSUs,</w:t>
            </w:r>
          </w:p>
        </w:tc>
      </w:tr>
      <w:tr>
        <w:trPr>
          <w:cantSplit w:val="0"/>
          <w:tblHeader w:val="0"/>
        </w:trPr>
        <w:tc>
          <w:tcPr/>
          <w:p w:rsidR="00000000" w:rsidDel="00000000" w:rsidP="00000000" w:rsidRDefault="00000000" w:rsidRPr="00000000" w14:paraId="0000007D">
            <w:pPr>
              <w:keepLines w:val="1"/>
              <w:spacing w:after="0" w:lineRule="auto"/>
              <w:ind w:left="-8" w:hanging="11"/>
              <w:rPr/>
            </w:pPr>
            <w:r w:rsidDel="00000000" w:rsidR="00000000" w:rsidRPr="00000000">
              <w:rPr>
                <w:rtl w:val="0"/>
              </w:rPr>
              <w:t xml:space="preserve">2.20.2. SAR-ok, (részesedési értéknövekedési jogok) </w:t>
            </w:r>
          </w:p>
        </w:tc>
        <w:tc>
          <w:tcPr/>
          <w:p w:rsidR="00000000" w:rsidDel="00000000" w:rsidP="00000000" w:rsidRDefault="00000000" w:rsidRPr="00000000" w14:paraId="0000007E">
            <w:pPr>
              <w:spacing w:after="0" w:lineRule="auto"/>
              <w:ind w:left="0" w:firstLine="0"/>
              <w:rPr/>
            </w:pPr>
            <w:r w:rsidDel="00000000" w:rsidR="00000000" w:rsidRPr="00000000">
              <w:rPr>
                <w:rtl w:val="0"/>
              </w:rPr>
              <w:t xml:space="preserve">2.20.2 SARs,</w:t>
            </w:r>
          </w:p>
        </w:tc>
      </w:tr>
      <w:tr>
        <w:trPr>
          <w:cantSplit w:val="0"/>
          <w:tblHeader w:val="0"/>
        </w:trPr>
        <w:tc>
          <w:tcPr/>
          <w:p w:rsidR="00000000" w:rsidDel="00000000" w:rsidP="00000000" w:rsidRDefault="00000000" w:rsidRPr="00000000" w14:paraId="0000007F">
            <w:pPr>
              <w:spacing w:after="0" w:lineRule="auto"/>
              <w:ind w:left="-8" w:firstLine="0"/>
              <w:rPr/>
            </w:pPr>
            <w:r w:rsidDel="00000000" w:rsidR="00000000" w:rsidRPr="00000000">
              <w:rPr>
                <w:rtl w:val="0"/>
              </w:rPr>
              <w:t xml:space="preserve">2.20.3. opciós jegyek vagy más hasonló jogot megtestesítő értékpapírok, függetlenül attól, hogy azok megszerzett vagy feltételhez kötött jogosultságot jelentenek.</w:t>
            </w:r>
          </w:p>
        </w:tc>
        <w:tc>
          <w:tcPr/>
          <w:p w:rsidR="00000000" w:rsidDel="00000000" w:rsidP="00000000" w:rsidRDefault="00000000" w:rsidRPr="00000000" w14:paraId="00000080">
            <w:pPr>
              <w:spacing w:after="0" w:lineRule="auto"/>
              <w:ind w:left="0" w:firstLine="0"/>
              <w:rPr/>
            </w:pPr>
            <w:r w:rsidDel="00000000" w:rsidR="00000000" w:rsidRPr="00000000">
              <w:rPr>
                <w:rtl w:val="0"/>
              </w:rPr>
              <w:t xml:space="preserve">2.20.3 warrants or similar securities, vested or unvested.</w:t>
            </w:r>
          </w:p>
        </w:tc>
      </w:tr>
      <w:tr>
        <w:trPr>
          <w:cantSplit w:val="0"/>
          <w:tblHeader w:val="0"/>
        </w:trPr>
        <w:tc>
          <w:tcPr/>
          <w:p w:rsidR="00000000" w:rsidDel="00000000" w:rsidP="00000000" w:rsidRDefault="00000000" w:rsidRPr="00000000" w14:paraId="00000081">
            <w:pPr>
              <w:spacing w:after="0" w:lineRule="auto"/>
              <w:ind w:left="-8" w:firstLine="0"/>
              <w:rPr/>
            </w:pPr>
            <w:r w:rsidDel="00000000" w:rsidR="00000000" w:rsidRPr="00000000">
              <w:rPr>
                <w:rtl w:val="0"/>
              </w:rPr>
              <w:t xml:space="preserve">2.21. </w:t>
            </w:r>
            <w:r w:rsidDel="00000000" w:rsidR="00000000" w:rsidRPr="00000000">
              <w:rPr>
                <w:b w:val="1"/>
                <w:bCs w:val="1"/>
                <w:rtl w:val="0"/>
              </w:rPr>
              <w:t xml:space="preserve">„Bevételek</w:t>
            </w:r>
            <w:r w:rsidDel="00000000" w:rsidR="00000000" w:rsidRPr="00000000">
              <w:rPr>
                <w:rtl w:val="0"/>
              </w:rPr>
              <w:t xml:space="preserve">” a Likviditási Eseményből vagy a Megszűnési Eseményből származó, az adott eseményből befolyó készpénz és egyéb eszközök, amelyek jogszerűen feloszthatók.</w:t>
            </w:r>
          </w:p>
        </w:tc>
        <w:tc>
          <w:tcPr/>
          <w:p w:rsidR="00000000" w:rsidDel="00000000" w:rsidP="00000000" w:rsidRDefault="00000000" w:rsidRPr="00000000" w14:paraId="00000082">
            <w:pPr>
              <w:spacing w:after="0" w:lineRule="auto"/>
              <w:ind w:left="0" w:firstLine="0"/>
              <w:rPr/>
            </w:pPr>
            <w:r w:rsidDel="00000000" w:rsidR="00000000" w:rsidRPr="00000000">
              <w:rPr>
                <w:rtl w:val="0"/>
              </w:rPr>
              <w:t xml:space="preserve">2.21 “</w:t>
            </w:r>
            <w:r w:rsidDel="00000000" w:rsidR="00000000" w:rsidRPr="00000000">
              <w:rPr>
                <w:b w:val="1"/>
                <w:bCs w:val="1"/>
                <w:rtl w:val="0"/>
              </w:rPr>
              <w:t xml:space="preserve">Proceeds</w:t>
            </w:r>
            <w:r w:rsidDel="00000000" w:rsidR="00000000" w:rsidRPr="00000000">
              <w:rPr>
                <w:rtl w:val="0"/>
              </w:rPr>
              <w:t xml:space="preserve">” means cash and other assets (including without limitation stock consideration) that are proceeds from the Liquidity Event or the Dissolution Event, as applicable, and legally available for distribution.  </w:t>
            </w:r>
          </w:p>
        </w:tc>
      </w:tr>
      <w:tr>
        <w:trPr>
          <w:cantSplit w:val="0"/>
          <w:tblHeader w:val="0"/>
        </w:trPr>
        <w:tc>
          <w:tcPr/>
          <w:p w:rsidR="00000000" w:rsidDel="00000000" w:rsidP="00000000" w:rsidRDefault="00000000" w:rsidRPr="00000000" w14:paraId="00000083">
            <w:pPr>
              <w:spacing w:after="0" w:lineRule="auto"/>
              <w:ind w:left="-8" w:firstLine="0"/>
              <w:rPr>
                <w:highlight w:val="green"/>
              </w:rPr>
            </w:pPr>
            <w:r w:rsidDel="00000000" w:rsidR="00000000" w:rsidRPr="00000000">
              <w:rPr>
                <w:highlight w:val="green"/>
                <w:rtl w:val="0"/>
              </w:rPr>
              <w:t xml:space="preserve">2.22. </w:t>
            </w:r>
            <w:r w:rsidDel="00000000" w:rsidR="00000000" w:rsidRPr="00000000">
              <w:rPr>
                <w:b w:val="1"/>
                <w:bCs w:val="1"/>
                <w:highlight w:val="green"/>
                <w:rtl w:val="0"/>
              </w:rPr>
              <w:t xml:space="preserve">„Ígért Opciók” </w:t>
            </w:r>
            <w:r w:rsidDel="00000000" w:rsidR="00000000" w:rsidRPr="00000000">
              <w:rPr>
                <w:highlight w:val="green"/>
                <w:rtl w:val="0"/>
              </w:rPr>
              <w:t xml:space="preserve">azok a vállalt, de még ki nem bocsátott Opciók, amelyek száma az alábbi esetek közül a legnagyobb: </w:t>
            </w:r>
          </w:p>
        </w:tc>
        <w:tc>
          <w:tcPr/>
          <w:p w:rsidR="00000000" w:rsidDel="00000000" w:rsidP="00000000" w:rsidRDefault="00000000" w:rsidRPr="00000000" w14:paraId="00000084">
            <w:pPr>
              <w:spacing w:after="0" w:lineRule="auto"/>
              <w:ind w:left="0" w:firstLine="0"/>
              <w:rPr>
                <w:highlight w:val="green"/>
              </w:rPr>
            </w:pPr>
            <w:r w:rsidDel="00000000" w:rsidR="00000000" w:rsidRPr="00000000">
              <w:rPr>
                <w:highlight w:val="green"/>
                <w:rtl w:val="0"/>
              </w:rPr>
              <w:t xml:space="preserve">2.22 “</w:t>
            </w:r>
            <w:r w:rsidDel="00000000" w:rsidR="00000000" w:rsidRPr="00000000">
              <w:rPr>
                <w:b w:val="1"/>
                <w:bCs w:val="1"/>
                <w:highlight w:val="green"/>
                <w:rtl w:val="0"/>
              </w:rPr>
              <w:t xml:space="preserve">Promised Options</w:t>
            </w:r>
            <w:r w:rsidDel="00000000" w:rsidR="00000000" w:rsidRPr="00000000">
              <w:rPr>
                <w:highlight w:val="green"/>
                <w:rtl w:val="0"/>
              </w:rPr>
              <w:t xml:space="preserve">” means promised but ungranted Options that are the greater of those</w:t>
            </w:r>
          </w:p>
        </w:tc>
      </w:tr>
      <w:tr>
        <w:trPr>
          <w:cantSplit w:val="0"/>
          <w:tblHeader w:val="0"/>
        </w:trPr>
        <w:tc>
          <w:tcPr/>
          <w:p w:rsidR="00000000" w:rsidDel="00000000" w:rsidP="00000000" w:rsidRDefault="00000000" w:rsidRPr="00000000" w14:paraId="00000085">
            <w:pPr>
              <w:spacing w:after="0" w:lineRule="auto"/>
              <w:ind w:left="-8" w:firstLine="0"/>
              <w:rPr>
                <w:highlight w:val="green"/>
              </w:rPr>
            </w:pPr>
            <w:r w:rsidDel="00000000" w:rsidR="00000000" w:rsidRPr="00000000">
              <w:rPr>
                <w:highlight w:val="green"/>
                <w:rtl w:val="0"/>
              </w:rPr>
              <w:t xml:space="preserve">2.22.1. a Tőkebevonáshoz vagy a Likviditási eseményhez kapcsolódó term sheet vagy szándéknyilatkozat megkötését megelőzően, vagy azokkal összefüggésben, szerződés vagy megállapodás alapján vállalt Opciók (vagy – ha nem készült term sheet vagy szándéknyilatkozat – az első Tőkebevonás zárásakor vagy a Likviditási esemény zárásakor vállalt Opciók); </w:t>
            </w:r>
          </w:p>
        </w:tc>
        <w:tc>
          <w:tcPr/>
          <w:p w:rsidR="00000000" w:rsidDel="00000000" w:rsidP="00000000" w:rsidRDefault="00000000" w:rsidRPr="00000000" w14:paraId="00000086">
            <w:pPr>
              <w:spacing w:after="0" w:lineRule="auto"/>
              <w:ind w:left="0" w:firstLine="0"/>
              <w:rPr>
                <w:highlight w:val="green"/>
              </w:rPr>
            </w:pPr>
            <w:r w:rsidDel="00000000" w:rsidR="00000000" w:rsidRPr="00000000">
              <w:rPr>
                <w:highlight w:val="green"/>
                <w:rtl w:val="0"/>
              </w:rPr>
              <w:t xml:space="preserve">2.22.1 promised pursuant to agreements or understandings made prior to the execution of, or in connection with, the term sheet or letter of intent for the Equity Financing or Liquidity Event, as applicable (or the initial closing of the Equity Financing or consummation of the Liquidity Event, if there is no term sheet or letter of intent),</w:t>
            </w:r>
          </w:p>
        </w:tc>
      </w:tr>
      <w:tr>
        <w:trPr>
          <w:cantSplit w:val="0"/>
          <w:tblHeader w:val="0"/>
        </w:trPr>
        <w:tc>
          <w:tcPr/>
          <w:p w:rsidR="00000000" w:rsidDel="00000000" w:rsidP="00000000" w:rsidRDefault="00000000" w:rsidRPr="00000000" w14:paraId="00000087">
            <w:pPr>
              <w:keepLines w:val="1"/>
              <w:spacing w:after="0" w:lineRule="auto"/>
              <w:ind w:left="0" w:firstLine="0"/>
              <w:rPr>
                <w:highlight w:val="green"/>
              </w:rPr>
            </w:pPr>
            <w:r w:rsidDel="00000000" w:rsidR="00000000" w:rsidRPr="00000000">
              <w:rPr>
                <w:highlight w:val="green"/>
                <w:rtl w:val="0"/>
              </w:rPr>
              <w:t xml:space="preserve">2.22.2. Tőkebevonás esetén azok az Opciók, amelyeket az elsőbbségi jogokat biztosító részesedés kibocsátási egységárának meghatározásakor figyelembe kell venni.</w:t>
            </w:r>
          </w:p>
        </w:tc>
        <w:tc>
          <w:tcPr/>
          <w:p w:rsidR="00000000" w:rsidDel="00000000" w:rsidP="00000000" w:rsidRDefault="00000000" w:rsidRPr="00000000" w14:paraId="00000088">
            <w:pPr>
              <w:spacing w:after="0" w:lineRule="auto"/>
              <w:ind w:left="0" w:firstLine="0"/>
              <w:rPr>
                <w:highlight w:val="green"/>
              </w:rPr>
            </w:pPr>
            <w:r w:rsidDel="00000000" w:rsidR="00000000" w:rsidRPr="00000000">
              <w:rPr>
                <w:highlight w:val="green"/>
                <w:rtl w:val="0"/>
              </w:rPr>
              <w:t xml:space="preserve">2.22.2 in the case of an Equity Financing, treated as outstanding Options in the calculation of the Standard Preferred Stock’s price per share, or</w:t>
            </w:r>
          </w:p>
        </w:tc>
      </w:tr>
      <w:tr>
        <w:trPr>
          <w:cantSplit w:val="0"/>
          <w:trHeight w:val="743.935546875" w:hRule="atLeast"/>
          <w:tblHeader w:val="0"/>
        </w:trPr>
        <w:tc>
          <w:tcPr/>
          <w:p w:rsidR="00000000" w:rsidDel="00000000" w:rsidP="00000000" w:rsidRDefault="00000000" w:rsidRPr="00000000" w14:paraId="00000089">
            <w:pPr>
              <w:spacing w:after="0" w:lineRule="auto"/>
              <w:ind w:left="0" w:firstLine="0"/>
              <w:rPr>
                <w:highlight w:val="green"/>
              </w:rPr>
            </w:pPr>
            <w:r w:rsidDel="00000000" w:rsidR="00000000" w:rsidRPr="00000000">
              <w:rPr>
                <w:highlight w:val="green"/>
                <w:rtl w:val="0"/>
              </w:rPr>
              <w:t xml:space="preserve">2.22.3. Likviditási esemény esetén azok az Opciók, amelyeket a Bevételek felosztásakor figyelembe kell venni.</w:t>
            </w:r>
          </w:p>
        </w:tc>
        <w:tc>
          <w:tcPr/>
          <w:p w:rsidR="00000000" w:rsidDel="00000000" w:rsidP="00000000" w:rsidRDefault="00000000" w:rsidRPr="00000000" w14:paraId="0000008A">
            <w:pPr>
              <w:spacing w:after="0" w:lineRule="auto"/>
              <w:ind w:left="0" w:firstLine="0"/>
              <w:rPr>
                <w:highlight w:val="green"/>
              </w:rPr>
            </w:pPr>
            <w:r w:rsidDel="00000000" w:rsidR="00000000" w:rsidRPr="00000000">
              <w:rPr>
                <w:highlight w:val="green"/>
                <w:rtl w:val="0"/>
              </w:rPr>
              <w:t xml:space="preserve">2.22.3 in the case of a Liquidity Event, treated as outstanding Options in the calculation of the distribution of the Proceeds.</w:t>
            </w:r>
            <w:r w:rsidDel="00000000" w:rsidR="00000000" w:rsidRPr="00000000">
              <w:rPr>
                <w:highlight w:val="green"/>
                <w:vertAlign w:val="superscript"/>
              </w:rPr>
              <w:footnoteReference w:customMarkFollows="0" w:id="17"/>
            </w:r>
            <w:r w:rsidDel="00000000" w:rsidR="00000000" w:rsidRPr="00000000">
              <w:rPr>
                <w:rtl w:val="0"/>
              </w:rPr>
            </w:r>
          </w:p>
        </w:tc>
      </w:tr>
      <w:tr>
        <w:trPr>
          <w:cantSplit w:val="0"/>
          <w:tblHeader w:val="0"/>
        </w:trPr>
        <w:tc>
          <w:tcPr/>
          <w:p w:rsidR="00000000" w:rsidDel="00000000" w:rsidP="00000000" w:rsidRDefault="00000000" w:rsidRPr="00000000" w14:paraId="0000008B">
            <w:pPr>
              <w:spacing w:after="0" w:lineRule="auto"/>
              <w:ind w:left="-8" w:firstLine="0"/>
              <w:rPr/>
            </w:pPr>
            <w:r w:rsidDel="00000000" w:rsidR="00000000" w:rsidRPr="00000000">
              <w:rPr>
                <w:rtl w:val="0"/>
              </w:rPr>
              <w:t xml:space="preserve">2.23. </w:t>
            </w:r>
            <w:r w:rsidDel="00000000" w:rsidR="00000000" w:rsidRPr="00000000">
              <w:rPr>
                <w:b w:val="1"/>
                <w:bCs w:val="1"/>
                <w:rtl w:val="0"/>
              </w:rPr>
              <w:t xml:space="preserve">„SAFE”</w:t>
            </w:r>
            <w:r w:rsidDel="00000000" w:rsidR="00000000" w:rsidRPr="00000000">
              <w:rPr>
                <w:rtl w:val="0"/>
              </w:rPr>
              <w:t xml:space="preserve"> olyan szerződés vagy megállapodás, amely a Társaság tőkéjéhez tartozó részesedések jövőbeni megszerzésére biztosít jogot, formája és tartalma a jelen szerződéshez hasonló, és amelyet a Társaság üzleti tevékenységének finanszírozása céljából befektetők tőkét. A „jelen SAFE” kifejezés a jelen szerződésre utal.</w:t>
            </w:r>
          </w:p>
        </w:tc>
        <w:tc>
          <w:tcPr/>
          <w:p w:rsidR="00000000" w:rsidDel="00000000" w:rsidP="00000000" w:rsidRDefault="00000000" w:rsidRPr="00000000" w14:paraId="0000008C">
            <w:pPr>
              <w:spacing w:after="0" w:lineRule="auto"/>
              <w:ind w:left="0" w:firstLine="0"/>
              <w:rPr/>
            </w:pPr>
            <w:r w:rsidDel="00000000" w:rsidR="00000000" w:rsidRPr="00000000">
              <w:rPr>
                <w:rtl w:val="0"/>
              </w:rPr>
              <w:t xml:space="preserve">2.23 “</w:t>
            </w:r>
            <w:r w:rsidDel="00000000" w:rsidR="00000000" w:rsidRPr="00000000">
              <w:rPr>
                <w:b w:val="1"/>
                <w:bCs w:val="1"/>
                <w:rtl w:val="0"/>
              </w:rPr>
              <w:t xml:space="preserve">Safe</w:t>
            </w:r>
            <w:r w:rsidDel="00000000" w:rsidR="00000000" w:rsidRPr="00000000">
              <w:rPr>
                <w:rtl w:val="0"/>
              </w:rPr>
              <w:t xml:space="preserve">” means an instrument containing a future right to shares of Capital Stock, similar in form and content to this instrument, purchased by investors for the purpose of funding the Company’s business operations.  References to “this Safe” mean this specific instrument.</w:t>
            </w:r>
          </w:p>
        </w:tc>
      </w:tr>
      <w:tr>
        <w:trPr>
          <w:cantSplit w:val="0"/>
          <w:tblHeader w:val="0"/>
        </w:trPr>
        <w:tc>
          <w:tcPr/>
          <w:p w:rsidR="00000000" w:rsidDel="00000000" w:rsidP="00000000" w:rsidRDefault="00000000" w:rsidRPr="00000000" w14:paraId="0000008D">
            <w:pPr>
              <w:spacing w:after="0" w:lineRule="auto"/>
              <w:ind w:left="-8" w:firstLine="0"/>
              <w:rPr/>
            </w:pPr>
            <w:r w:rsidDel="00000000" w:rsidR="00000000" w:rsidRPr="00000000">
              <w:rPr>
                <w:rtl w:val="0"/>
              </w:rPr>
              <w:t xml:space="preserve">2.24. </w:t>
            </w:r>
            <w:r w:rsidDel="00000000" w:rsidR="00000000" w:rsidRPr="00000000">
              <w:rPr>
                <w:b w:val="1"/>
                <w:bCs w:val="1"/>
                <w:rtl w:val="0"/>
              </w:rPr>
              <w:t xml:space="preserve">„SAFE Részesedés”</w:t>
            </w:r>
            <w:r w:rsidDel="00000000" w:rsidR="00000000" w:rsidRPr="00000000">
              <w:rPr>
                <w:rtl w:val="0"/>
              </w:rPr>
              <w:t xml:space="preserve"> a Tőkebevonás során a Befektető részére kibocsátott, az adott Tőkebevonás során a más befektetők számára biztosított elsőbbségi jogokat vagy más előnyöket biztosító részesedés, amely azonos jogokkal, előjogokkal, elsőbbségekkel és korlátozásokkal rendelkezik, mint elsőbbségi jogokat biztosító részesedés az alábbi kivételekkel:</w:t>
            </w:r>
          </w:p>
        </w:tc>
        <w:tc>
          <w:tcPr/>
          <w:p w:rsidR="00000000" w:rsidDel="00000000" w:rsidP="00000000" w:rsidRDefault="00000000" w:rsidRPr="00000000" w14:paraId="0000008E">
            <w:pPr>
              <w:spacing w:after="0" w:lineRule="auto"/>
              <w:ind w:left="0" w:firstLine="0"/>
              <w:rPr/>
            </w:pPr>
            <w:r w:rsidDel="00000000" w:rsidR="00000000" w:rsidRPr="00000000">
              <w:rPr>
                <w:rtl w:val="0"/>
              </w:rPr>
              <w:t xml:space="preserve">2.24 “</w:t>
            </w:r>
            <w:r w:rsidDel="00000000" w:rsidR="00000000" w:rsidRPr="00000000">
              <w:rPr>
                <w:b w:val="1"/>
                <w:bCs w:val="1"/>
                <w:rtl w:val="0"/>
              </w:rPr>
              <w:t xml:space="preserve">Safe Preferred Stock</w:t>
            </w:r>
            <w:r w:rsidDel="00000000" w:rsidR="00000000" w:rsidRPr="00000000">
              <w:rPr>
                <w:rtl w:val="0"/>
              </w:rPr>
              <w:t xml:space="preserve">” means the shares of the series of Preferred Stock issued to the Investor in an Equity Financing, having the identical rights, privileges, preferences and restrictions as the shares of Standard Preferred Stock, other than with respect to:</w:t>
            </w:r>
          </w:p>
        </w:tc>
      </w:tr>
      <w:tr>
        <w:trPr>
          <w:cantSplit w:val="0"/>
          <w:tblHeader w:val="0"/>
        </w:trPr>
        <w:tc>
          <w:tcPr/>
          <w:p w:rsidR="00000000" w:rsidDel="00000000" w:rsidP="00000000" w:rsidRDefault="00000000" w:rsidRPr="00000000" w14:paraId="0000008F">
            <w:pPr>
              <w:spacing w:after="0" w:lineRule="auto"/>
              <w:ind w:left="-8" w:firstLine="0"/>
              <w:rPr/>
            </w:pPr>
            <w:r w:rsidDel="00000000" w:rsidR="00000000" w:rsidRPr="00000000">
              <w:rPr>
                <w:rtl w:val="0"/>
              </w:rPr>
              <w:t xml:space="preserve">2.24.1. az egyes részesedések után járó likvidációs elsőbbségi jog és az ár alapú hígulás elleni védelem céljából meghatározott kezdeti konvertálási ár, amely megegyezik a Konvertálási Árral, </w:t>
            </w:r>
          </w:p>
        </w:tc>
        <w:tc>
          <w:tcPr/>
          <w:p w:rsidR="00000000" w:rsidDel="00000000" w:rsidP="00000000" w:rsidRDefault="00000000" w:rsidRPr="00000000" w14:paraId="00000090">
            <w:pPr>
              <w:spacing w:after="0" w:lineRule="auto"/>
              <w:ind w:left="0" w:firstLine="0"/>
              <w:rPr/>
            </w:pPr>
            <w:r w:rsidDel="00000000" w:rsidR="00000000" w:rsidRPr="00000000">
              <w:rPr>
                <w:rtl w:val="0"/>
              </w:rPr>
              <w:t xml:space="preserve">2.24.1 the per share liquidation preference and the initial conversion price for purposes of price-based anti-dilution protection, which will equal the Conversion Price; and</w:t>
            </w:r>
          </w:p>
        </w:tc>
      </w:tr>
      <w:tr>
        <w:trPr>
          <w:cantSplit w:val="0"/>
          <w:tblHeader w:val="0"/>
        </w:trPr>
        <w:tc>
          <w:tcPr/>
          <w:p w:rsidR="00000000" w:rsidDel="00000000" w:rsidP="00000000" w:rsidRDefault="00000000" w:rsidRPr="00000000" w14:paraId="00000091">
            <w:pPr>
              <w:spacing w:after="0" w:lineRule="auto"/>
              <w:ind w:left="-8" w:firstLine="0"/>
              <w:rPr/>
            </w:pPr>
            <w:r w:rsidDel="00000000" w:rsidR="00000000" w:rsidRPr="00000000">
              <w:rPr>
                <w:rtl w:val="0"/>
              </w:rPr>
              <w:t xml:space="preserve">2.24.2. az osztalékjogosultság számítása, melynek alapja a Konvertáklási Ár.</w:t>
            </w:r>
          </w:p>
        </w:tc>
        <w:tc>
          <w:tcPr/>
          <w:p w:rsidR="00000000" w:rsidDel="00000000" w:rsidP="00000000" w:rsidRDefault="00000000" w:rsidRPr="00000000" w14:paraId="00000092">
            <w:pPr>
              <w:spacing w:after="0" w:lineRule="auto"/>
              <w:ind w:left="0" w:firstLine="0"/>
              <w:rPr/>
            </w:pPr>
            <w:r w:rsidDel="00000000" w:rsidR="00000000" w:rsidRPr="00000000">
              <w:rPr>
                <w:rtl w:val="0"/>
              </w:rPr>
              <w:t xml:space="preserve">2.24.2 the basis for any dividend rights, which will be based on the Conversion Price.</w:t>
            </w:r>
          </w:p>
        </w:tc>
      </w:tr>
      <w:tr>
        <w:trPr>
          <w:cantSplit w:val="0"/>
          <w:tblHeader w:val="0"/>
        </w:trPr>
        <w:tc>
          <w:tcPr/>
          <w:p w:rsidR="00000000" w:rsidDel="00000000" w:rsidP="00000000" w:rsidRDefault="00000000" w:rsidRPr="00000000" w14:paraId="00000093">
            <w:pPr>
              <w:spacing w:after="0" w:lineRule="auto"/>
              <w:ind w:left="0" w:firstLine="0"/>
              <w:rPr>
                <w:highlight w:val="green"/>
              </w:rPr>
            </w:pPr>
            <w:r w:rsidDel="00000000" w:rsidR="00000000" w:rsidRPr="00000000">
              <w:rPr>
                <w:highlight w:val="green"/>
                <w:rtl w:val="0"/>
              </w:rPr>
              <w:t xml:space="preserve">2.25. </w:t>
            </w:r>
            <w:r w:rsidDel="00000000" w:rsidR="00000000" w:rsidRPr="00000000">
              <w:rPr>
                <w:b w:val="1"/>
                <w:bCs w:val="1"/>
                <w:highlight w:val="green"/>
                <w:rtl w:val="0"/>
              </w:rPr>
              <w:t xml:space="preserve">„SAFE-ár”</w:t>
            </w:r>
            <w:r w:rsidDel="00000000" w:rsidR="00000000" w:rsidRPr="00000000">
              <w:rPr>
                <w:highlight w:val="green"/>
                <w:rtl w:val="0"/>
              </w:rPr>
              <w:t xml:space="preserve"> a részesedések ára, amely a Post</w:t>
            </w:r>
            <w:r w:rsidDel="00000000" w:rsidR="00000000" w:rsidRPr="00000000">
              <w:rPr>
                <w:b w:val="1"/>
                <w:bCs w:val="1"/>
                <w:highlight w:val="green"/>
                <w:rtl w:val="0"/>
              </w:rPr>
              <w:t xml:space="preserve">-</w:t>
            </w:r>
            <w:r w:rsidDel="00000000" w:rsidR="00000000" w:rsidRPr="00000000">
              <w:rPr>
                <w:highlight w:val="green"/>
                <w:rtl w:val="0"/>
              </w:rPr>
              <w:t xml:space="preserve">money értékelési plafon és a Társasági Tőkésítésének hányadosával egyenlő.</w:t>
            </w:r>
          </w:p>
        </w:tc>
        <w:tc>
          <w:tcPr/>
          <w:p w:rsidR="00000000" w:rsidDel="00000000" w:rsidP="00000000" w:rsidRDefault="00000000" w:rsidRPr="00000000" w14:paraId="00000094">
            <w:pPr>
              <w:spacing w:after="0" w:lineRule="auto"/>
              <w:ind w:left="0" w:firstLine="0"/>
              <w:rPr>
                <w:highlight w:val="green"/>
              </w:rPr>
            </w:pPr>
            <w:r w:rsidDel="00000000" w:rsidR="00000000" w:rsidRPr="00000000">
              <w:rPr>
                <w:highlight w:val="green"/>
                <w:rtl w:val="0"/>
              </w:rPr>
              <w:t xml:space="preserve">2.25 “</w:t>
            </w:r>
            <w:r w:rsidDel="00000000" w:rsidR="00000000" w:rsidRPr="00000000">
              <w:rPr>
                <w:b w:val="1"/>
                <w:bCs w:val="1"/>
                <w:highlight w:val="green"/>
                <w:rtl w:val="0"/>
              </w:rPr>
              <w:t xml:space="preserve">Safe Price</w:t>
            </w:r>
            <w:r w:rsidDel="00000000" w:rsidR="00000000" w:rsidRPr="00000000">
              <w:rPr>
                <w:highlight w:val="green"/>
                <w:rtl w:val="0"/>
              </w:rPr>
              <w:t xml:space="preserve">” means the price per share equal to the Post-Money Valuation Cap divided by the Company Capitalization.</w:t>
            </w:r>
            <w:r w:rsidDel="00000000" w:rsidR="00000000" w:rsidRPr="00000000">
              <w:rPr>
                <w:highlight w:val="green"/>
                <w:vertAlign w:val="superscript"/>
              </w:rPr>
              <w:footnoteReference w:customMarkFollows="0" w:id="18"/>
            </w:r>
            <w:r w:rsidDel="00000000" w:rsidR="00000000" w:rsidRPr="00000000">
              <w:rPr>
                <w:rtl w:val="0"/>
              </w:rPr>
            </w:r>
          </w:p>
        </w:tc>
      </w:tr>
      <w:tr>
        <w:trPr>
          <w:cantSplit w:val="0"/>
          <w:tblHeader w:val="0"/>
        </w:trPr>
        <w:tc>
          <w:tcPr/>
          <w:p w:rsidR="00000000" w:rsidDel="00000000" w:rsidP="00000000" w:rsidRDefault="00000000" w:rsidRPr="00000000" w14:paraId="00000095">
            <w:pPr>
              <w:spacing w:after="0" w:lineRule="auto"/>
              <w:ind w:left="-8" w:firstLine="0"/>
              <w:rPr/>
            </w:pPr>
            <w:r w:rsidDel="00000000" w:rsidR="00000000" w:rsidRPr="00000000">
              <w:rPr>
                <w:rtl w:val="0"/>
              </w:rPr>
              <w:t xml:space="preserve">2.26. </w:t>
            </w:r>
            <w:r w:rsidDel="00000000" w:rsidR="00000000" w:rsidRPr="00000000">
              <w:rPr>
                <w:b w:val="1"/>
                <w:bCs w:val="1"/>
                <w:rtl w:val="0"/>
              </w:rPr>
              <w:t xml:space="preserve">„Elsőbbségi jogokat biztosító</w:t>
            </w:r>
            <w:r w:rsidDel="00000000" w:rsidR="00000000" w:rsidRPr="00000000">
              <w:rPr>
                <w:rtl w:val="0"/>
              </w:rPr>
              <w:t xml:space="preserve"> </w:t>
            </w:r>
            <w:r w:rsidDel="00000000" w:rsidR="00000000" w:rsidRPr="00000000">
              <w:rPr>
                <w:b w:val="1"/>
                <w:bCs w:val="1"/>
                <w:rtl w:val="0"/>
              </w:rPr>
              <w:t xml:space="preserve">részesedés” </w:t>
            </w:r>
            <w:r w:rsidDel="00000000" w:rsidR="00000000" w:rsidRPr="00000000">
              <w:rPr>
                <w:rtl w:val="0"/>
              </w:rPr>
              <w:t xml:space="preserve">az első körös Tőkebevonás zárásával összefüggésben, további tőkebevonás céljából a Társaság által a befektetők részére kibocsátott, meghatározott sorozatba tartozó elsőbbségi jogokat biztosító részesedések.</w:t>
            </w:r>
          </w:p>
        </w:tc>
        <w:tc>
          <w:tcPr/>
          <w:p w:rsidR="00000000" w:rsidDel="00000000" w:rsidP="00000000" w:rsidRDefault="00000000" w:rsidRPr="00000000" w14:paraId="00000096">
            <w:pPr>
              <w:spacing w:after="0" w:lineRule="auto"/>
              <w:ind w:left="0" w:firstLine="0"/>
              <w:rPr/>
            </w:pPr>
            <w:r w:rsidDel="00000000" w:rsidR="00000000" w:rsidRPr="00000000">
              <w:rPr>
                <w:rtl w:val="0"/>
              </w:rPr>
              <w:t xml:space="preserve">2.26 “</w:t>
            </w:r>
            <w:r w:rsidDel="00000000" w:rsidR="00000000" w:rsidRPr="00000000">
              <w:rPr>
                <w:b w:val="1"/>
                <w:bCs w:val="1"/>
                <w:rtl w:val="0"/>
              </w:rPr>
              <w:t xml:space="preserve">Standard Preferred Stock</w:t>
            </w:r>
            <w:r w:rsidDel="00000000" w:rsidR="00000000" w:rsidRPr="00000000">
              <w:rPr>
                <w:rtl w:val="0"/>
              </w:rPr>
              <w:t xml:space="preserve">” means the shares of the series of Preferred Stock issued to the investors investing new money in the Company in connection with the initial closing of the Equity Financing.</w:t>
            </w:r>
          </w:p>
        </w:tc>
      </w:tr>
      <w:tr>
        <w:trPr>
          <w:cantSplit w:val="0"/>
          <w:tblHeader w:val="0"/>
        </w:trPr>
        <w:tc>
          <w:tcPr/>
          <w:p w:rsidR="00000000" w:rsidDel="00000000" w:rsidP="00000000" w:rsidRDefault="00000000" w:rsidRPr="00000000" w14:paraId="00000097">
            <w:pPr>
              <w:spacing w:after="0" w:lineRule="auto"/>
              <w:ind w:left="-8" w:firstLine="0"/>
              <w:rPr>
                <w:shd w:fill="ff9900" w:val="clear"/>
              </w:rPr>
            </w:pPr>
            <w:r w:rsidDel="00000000" w:rsidR="00000000" w:rsidRPr="00000000">
              <w:rPr>
                <w:shd w:fill="ff9900" w:val="clear"/>
                <w:rtl w:val="0"/>
              </w:rPr>
              <w:t xml:space="preserve">2.27. </w:t>
            </w:r>
            <w:r w:rsidDel="00000000" w:rsidR="00000000" w:rsidRPr="00000000">
              <w:rPr>
                <w:b w:val="1"/>
                <w:bCs w:val="1"/>
                <w:shd w:fill="ff9900" w:val="clear"/>
                <w:rtl w:val="0"/>
              </w:rPr>
              <w:t xml:space="preserve">„Későbbi Konvertálható Értékpapírok”</w:t>
            </w:r>
            <w:r w:rsidDel="00000000" w:rsidR="00000000" w:rsidRPr="00000000">
              <w:rPr>
                <w:shd w:fill="ff9900" w:val="clear"/>
                <w:rtl w:val="0"/>
              </w:rPr>
              <w:t xml:space="preserve"> a Társaság által a jelen szerződés létrejöttét követően, elsődleges tőkebevonás céljából kibocsátott konvertálható értékpapírok, ideértve többek között más SAFE-eket, konvertálható kötvényeket és egyéb konvertálható értékpapírokat. Nem minősülnek Későbbi Konvertálható Értékpapírnak: </w:t>
            </w:r>
          </w:p>
        </w:tc>
        <w:tc>
          <w:tcPr/>
          <w:p w:rsidR="00000000" w:rsidDel="00000000" w:rsidP="00000000" w:rsidRDefault="00000000" w:rsidRPr="00000000" w14:paraId="00000098">
            <w:pPr>
              <w:spacing w:after="0" w:lineRule="auto"/>
              <w:ind w:left="0" w:firstLine="0"/>
              <w:rPr>
                <w:shd w:fill="ff9900" w:val="clear"/>
              </w:rPr>
            </w:pPr>
            <w:r w:rsidDel="00000000" w:rsidR="00000000" w:rsidRPr="00000000">
              <w:rPr>
                <w:shd w:fill="ff9900" w:val="clear"/>
                <w:rtl w:val="0"/>
              </w:rPr>
              <w:t xml:space="preserve">2.27 “</w:t>
            </w:r>
            <w:r w:rsidDel="00000000" w:rsidR="00000000" w:rsidRPr="00000000">
              <w:rPr>
                <w:b w:val="1"/>
                <w:bCs w:val="1"/>
                <w:shd w:fill="ff9900" w:val="clear"/>
                <w:rtl w:val="0"/>
              </w:rPr>
              <w:t xml:space="preserve">Subsequent Convertible Securities</w:t>
            </w:r>
            <w:r w:rsidDel="00000000" w:rsidR="00000000" w:rsidRPr="00000000">
              <w:rPr>
                <w:shd w:fill="ff9900" w:val="clear"/>
                <w:rtl w:val="0"/>
              </w:rPr>
              <w:t xml:space="preserve">” means convertible securities that the Company may issue after the issuance of this instrument with the principal purpose of raising capital, including but not limited to, other Safes, convertible debt instruments and other convertible securities. Subsequent Convertible Securities excludes:</w:t>
            </w:r>
          </w:p>
        </w:tc>
      </w:tr>
      <w:tr>
        <w:trPr>
          <w:cantSplit w:val="0"/>
          <w:tblHeader w:val="0"/>
        </w:trPr>
        <w:tc>
          <w:tcPr/>
          <w:p w:rsidR="00000000" w:rsidDel="00000000" w:rsidP="00000000" w:rsidRDefault="00000000" w:rsidRPr="00000000" w14:paraId="00000099">
            <w:pPr>
              <w:spacing w:after="0" w:lineRule="auto"/>
              <w:ind w:left="-8" w:firstLine="0"/>
              <w:rPr>
                <w:shd w:fill="ff9900" w:val="clear"/>
              </w:rPr>
            </w:pPr>
            <w:r w:rsidDel="00000000" w:rsidR="00000000" w:rsidRPr="00000000">
              <w:rPr>
                <w:shd w:fill="ff9900" w:val="clear"/>
                <w:rtl w:val="0"/>
              </w:rPr>
              <w:t xml:space="preserve">2.27.1. olyan mellékmegállapodások vagy kiegészítő szerződések, amelyek nem módosítják a konvertálható értékpapírok feltételeit; valamint </w:t>
            </w:r>
          </w:p>
        </w:tc>
        <w:tc>
          <w:tcPr/>
          <w:p w:rsidR="00000000" w:rsidDel="00000000" w:rsidP="00000000" w:rsidRDefault="00000000" w:rsidRPr="00000000" w14:paraId="0000009A">
            <w:pPr>
              <w:spacing w:after="0" w:lineRule="auto"/>
              <w:ind w:left="0" w:firstLine="0"/>
              <w:rPr>
                <w:shd w:fill="ff9900" w:val="clear"/>
              </w:rPr>
            </w:pPr>
            <w:r w:rsidDel="00000000" w:rsidR="00000000" w:rsidRPr="00000000">
              <w:rPr>
                <w:shd w:fill="ff9900" w:val="clear"/>
                <w:rtl w:val="0"/>
              </w:rPr>
              <w:t xml:space="preserve">2.27.1 side letters or ancillary agreements that do not amend or modify the terms of such convertible securities; and</w:t>
            </w:r>
          </w:p>
        </w:tc>
      </w:tr>
      <w:tr>
        <w:trPr>
          <w:cantSplit w:val="0"/>
          <w:tblHeader w:val="0"/>
        </w:trPr>
        <w:tc>
          <w:tcPr/>
          <w:p w:rsidR="00000000" w:rsidDel="00000000" w:rsidP="00000000" w:rsidRDefault="00000000" w:rsidRPr="00000000" w14:paraId="0000009B">
            <w:pPr>
              <w:spacing w:after="0" w:lineRule="auto"/>
              <w:ind w:left="-8" w:firstLine="0"/>
              <w:rPr>
                <w:shd w:fill="ff9900" w:val="clear"/>
              </w:rPr>
            </w:pPr>
            <w:r w:rsidDel="00000000" w:rsidR="00000000" w:rsidRPr="00000000">
              <w:rPr>
                <w:shd w:fill="ff9900" w:val="clear"/>
                <w:rtl w:val="0"/>
              </w:rPr>
              <w:t xml:space="preserve">2.27.2. az alábbi értékpapírok: </w:t>
            </w:r>
          </w:p>
        </w:tc>
        <w:tc>
          <w:tcPr/>
          <w:p w:rsidR="00000000" w:rsidDel="00000000" w:rsidP="00000000" w:rsidRDefault="00000000" w:rsidRPr="00000000" w14:paraId="0000009C">
            <w:pPr>
              <w:spacing w:after="0" w:lineRule="auto"/>
              <w:ind w:left="0" w:firstLine="0"/>
              <w:rPr>
                <w:shd w:fill="ff9900" w:val="clear"/>
              </w:rPr>
            </w:pPr>
            <w:r w:rsidDel="00000000" w:rsidR="00000000" w:rsidRPr="00000000">
              <w:rPr>
                <w:shd w:fill="ff9900" w:val="clear"/>
                <w:rtl w:val="0"/>
              </w:rPr>
              <w:t xml:space="preserve">2.27.2 the following types of securities:</w:t>
            </w:r>
          </w:p>
        </w:tc>
      </w:tr>
      <w:tr>
        <w:trPr>
          <w:cantSplit w:val="0"/>
          <w:tblHeader w:val="0"/>
        </w:trPr>
        <w:tc>
          <w:tcPr/>
          <w:p w:rsidR="00000000" w:rsidDel="00000000" w:rsidP="00000000" w:rsidRDefault="00000000" w:rsidRPr="00000000" w14:paraId="0000009D">
            <w:pPr>
              <w:spacing w:after="0" w:lineRule="auto"/>
              <w:ind w:left="-8" w:firstLine="0"/>
              <w:rPr>
                <w:shd w:fill="ff9900" w:val="clear"/>
              </w:rPr>
            </w:pPr>
            <w:r w:rsidDel="00000000" w:rsidR="00000000" w:rsidRPr="00000000">
              <w:rPr>
                <w:shd w:fill="ff9900" w:val="clear"/>
                <w:rtl w:val="0"/>
              </w:rPr>
              <w:t xml:space="preserve">2.27.3. a Társaság bármely részesedés juttatási vagy hasonló ösztönző programja keretében kibocsátott opciók;</w:t>
            </w:r>
          </w:p>
        </w:tc>
        <w:tc>
          <w:tcPr/>
          <w:p w:rsidR="00000000" w:rsidDel="00000000" w:rsidP="00000000" w:rsidRDefault="00000000" w:rsidRPr="00000000" w14:paraId="0000009E">
            <w:pPr>
              <w:spacing w:after="0" w:lineRule="auto"/>
              <w:ind w:left="0" w:firstLine="0"/>
              <w:rPr>
                <w:shd w:fill="ff9900" w:val="clear"/>
              </w:rPr>
            </w:pPr>
            <w:r w:rsidDel="00000000" w:rsidR="00000000" w:rsidRPr="00000000">
              <w:rPr>
                <w:shd w:fill="ff9900" w:val="clear"/>
                <w:rtl w:val="0"/>
              </w:rPr>
              <w:t xml:space="preserve">2.27.3 options issued pursuant to any equity incentive or similar plan of the Company;</w:t>
            </w:r>
          </w:p>
        </w:tc>
      </w:tr>
      <w:tr>
        <w:trPr>
          <w:cantSplit w:val="0"/>
          <w:tblHeader w:val="0"/>
        </w:trPr>
        <w:tc>
          <w:tcPr/>
          <w:p w:rsidR="00000000" w:rsidDel="00000000" w:rsidP="00000000" w:rsidRDefault="00000000" w:rsidRPr="00000000" w14:paraId="0000009F">
            <w:pPr>
              <w:spacing w:after="0" w:lineRule="auto"/>
              <w:ind w:left="-8" w:firstLine="0"/>
              <w:rPr>
                <w:shd w:fill="ff9900" w:val="clear"/>
              </w:rPr>
            </w:pPr>
            <w:r w:rsidDel="00000000" w:rsidR="00000000" w:rsidRPr="00000000">
              <w:rPr>
                <w:shd w:fill="ff9900" w:val="clear"/>
                <w:rtl w:val="0"/>
              </w:rPr>
              <w:t xml:space="preserve">2.27.4. olyan konvertálható értékpapírok, amelyeket (i) bankoknak, lízinggel foglalkozó vállalkozásoknak, pénzügyi intézményeknek vagy egyéb hitelezők részére finanszírozási vagy kereskedelmi lízingügylet keretében bocsátanak ki, vagy (ii) szállítóknak vagy harmadik fél szolgáltatóknak áruk vagy szolgáltatások nyújtásához kapcsolódó ügyletek keretében bocsátanak ki; valamint</w:t>
            </w:r>
          </w:p>
        </w:tc>
        <w:tc>
          <w:tcPr/>
          <w:p w:rsidR="00000000" w:rsidDel="00000000" w:rsidP="00000000" w:rsidRDefault="00000000" w:rsidRPr="00000000" w14:paraId="000000A0">
            <w:pPr>
              <w:spacing w:after="0" w:lineRule="auto"/>
              <w:ind w:left="0" w:firstLine="0"/>
              <w:rPr>
                <w:shd w:fill="ff9900" w:val="clear"/>
              </w:rPr>
            </w:pPr>
            <w:r w:rsidDel="00000000" w:rsidR="00000000" w:rsidRPr="00000000">
              <w:rPr>
                <w:shd w:fill="ff9900" w:val="clear"/>
                <w:rtl w:val="0"/>
              </w:rPr>
              <w:t xml:space="preserve">2.27.4 convertible securities issued or issuable to (1) banks, equipment lessors, financial institutions or other persons engaged in the business of making loans pursuant to a debt financing or commercial leasing or (2) suppliers or third-party service providers in connection with the provision of goods or services pursuant to transactions; and</w:t>
            </w:r>
          </w:p>
        </w:tc>
      </w:tr>
      <w:tr>
        <w:trPr>
          <w:cantSplit w:val="0"/>
          <w:tblHeader w:val="0"/>
        </w:trPr>
        <w:tc>
          <w:tcPr/>
          <w:p w:rsidR="00000000" w:rsidDel="00000000" w:rsidP="00000000" w:rsidRDefault="00000000" w:rsidRPr="00000000" w14:paraId="000000A1">
            <w:pPr>
              <w:spacing w:after="0" w:lineRule="auto"/>
              <w:ind w:left="-8" w:firstLine="0"/>
              <w:rPr>
                <w:shd w:fill="ff9900" w:val="clear"/>
              </w:rPr>
            </w:pPr>
            <w:r w:rsidDel="00000000" w:rsidR="00000000" w:rsidRPr="00000000">
              <w:rPr>
                <w:shd w:fill="ff9900" w:val="clear"/>
                <w:rtl w:val="0"/>
              </w:rPr>
              <w:t xml:space="preserve">2.27.5. olyan konvertálható értékpapírok, amelyeket támogatott kutatás, együttműködés, technológiai licenc, fejlesztési, OEM, marketing vagy más hasonló megállapodás, illetve stratégiai partnerség keretében bocsátanak ki.</w:t>
            </w:r>
          </w:p>
        </w:tc>
        <w:tc>
          <w:tcPr/>
          <w:p w:rsidR="00000000" w:rsidDel="00000000" w:rsidP="00000000" w:rsidRDefault="00000000" w:rsidRPr="00000000" w14:paraId="000000A2">
            <w:pPr>
              <w:spacing w:after="0" w:lineRule="auto"/>
              <w:ind w:left="0" w:firstLine="0"/>
              <w:rPr>
                <w:shd w:fill="ff9900" w:val="clear"/>
              </w:rPr>
            </w:pPr>
            <w:r w:rsidDel="00000000" w:rsidR="00000000" w:rsidRPr="00000000">
              <w:rPr>
                <w:shd w:fill="ff9900" w:val="clear"/>
                <w:rtl w:val="0"/>
              </w:rPr>
              <w:t xml:space="preserve">2.27.5 convertible securities issued or issuable in connection with sponsored research, collaboration, technology license, development, OEM, marketing or other similar agreements or strategic partnerships</w:t>
            </w:r>
            <w:r w:rsidDel="00000000" w:rsidR="00000000" w:rsidRPr="00000000">
              <w:rPr>
                <w:shd w:fill="ff9900" w:val="clear"/>
                <w:vertAlign w:val="superscript"/>
              </w:rPr>
              <w:footnoteReference w:customMarkFollows="0" w:id="19"/>
            </w:r>
            <w:r w:rsidDel="00000000" w:rsidR="00000000" w:rsidRPr="00000000">
              <w:rPr>
                <w:rtl w:val="0"/>
              </w:rPr>
            </w:r>
          </w:p>
        </w:tc>
      </w:tr>
      <w:tr>
        <w:trPr>
          <w:cantSplit w:val="0"/>
          <w:tblHeader w:val="0"/>
        </w:trPr>
        <w:tc>
          <w:tcPr/>
          <w:p w:rsidR="00000000" w:rsidDel="00000000" w:rsidP="00000000" w:rsidRDefault="00000000" w:rsidRPr="00000000" w14:paraId="000000A3">
            <w:pPr>
              <w:spacing w:after="0" w:lineRule="auto"/>
              <w:ind w:left="-8" w:firstLine="0"/>
              <w:rPr>
                <w:highlight w:val="green"/>
              </w:rPr>
            </w:pPr>
            <w:r w:rsidDel="00000000" w:rsidR="00000000" w:rsidRPr="00000000">
              <w:rPr>
                <w:highlight w:val="green"/>
                <w:rtl w:val="0"/>
              </w:rPr>
              <w:t xml:space="preserve">2.28. </w:t>
            </w:r>
            <w:r w:rsidDel="00000000" w:rsidR="00000000" w:rsidRPr="00000000">
              <w:rPr>
                <w:b w:val="1"/>
                <w:bCs w:val="1"/>
                <w:highlight w:val="green"/>
                <w:rtl w:val="0"/>
              </w:rPr>
              <w:t xml:space="preserve">„Ki nem bocsátott Opciós Keret”</w:t>
            </w:r>
            <w:r w:rsidDel="00000000" w:rsidR="00000000" w:rsidRPr="00000000">
              <w:rPr>
                <w:highlight w:val="green"/>
                <w:rtl w:val="0"/>
              </w:rPr>
              <w:t xml:space="preserve"> a Társaság Jegyzett tőkéjébe tartozó, részesedés juttatási vagy hasonló program keretében van fenntartva, jövőbeni kiadásra rendelkezésre áll, és amelyre nem vonatkozik fennálló Opció vagy Ígért Opció. Likviditási Esemény esetén csak akkor vehető figyelembe, ha az adott Ígért Opciók tekintetében Bevételek fizetendők.</w:t>
            </w:r>
          </w:p>
        </w:tc>
        <w:tc>
          <w:tcPr/>
          <w:p w:rsidR="00000000" w:rsidDel="00000000" w:rsidP="00000000" w:rsidRDefault="00000000" w:rsidRPr="00000000" w14:paraId="000000A4">
            <w:pPr>
              <w:spacing w:after="0" w:lineRule="auto"/>
              <w:ind w:left="0" w:firstLine="0"/>
              <w:rPr>
                <w:highlight w:val="green"/>
              </w:rPr>
            </w:pPr>
            <w:r w:rsidDel="00000000" w:rsidR="00000000" w:rsidRPr="00000000">
              <w:rPr>
                <w:highlight w:val="green"/>
                <w:rtl w:val="0"/>
              </w:rPr>
              <w:t xml:space="preserve">2.28 “</w:t>
            </w:r>
            <w:r w:rsidDel="00000000" w:rsidR="00000000" w:rsidRPr="00000000">
              <w:rPr>
                <w:b w:val="1"/>
                <w:bCs w:val="1"/>
                <w:highlight w:val="green"/>
                <w:rtl w:val="0"/>
              </w:rPr>
              <w:t xml:space="preserve">Unissued Option Pool</w:t>
            </w:r>
            <w:r w:rsidDel="00000000" w:rsidR="00000000" w:rsidRPr="00000000">
              <w:rPr>
                <w:highlight w:val="green"/>
                <w:rtl w:val="0"/>
              </w:rPr>
              <w:t xml:space="preserve">” means all shares of Capital Stock that are reserved, available for future grant and not subject to any outstanding Options or Promised Options (but in the case of a Liquidity Event, only to the extent Proceeds are payable on such Promised Options) under any equity incentive or similar Company plan.</w:t>
            </w:r>
            <w:r w:rsidDel="00000000" w:rsidR="00000000" w:rsidRPr="00000000">
              <w:rPr>
                <w:highlight w:val="green"/>
                <w:vertAlign w:val="superscript"/>
              </w:rPr>
              <w:footnoteReference w:customMarkFollows="0" w:id="20"/>
            </w:r>
            <w:r w:rsidDel="00000000" w:rsidR="00000000" w:rsidRPr="00000000">
              <w:rPr>
                <w:rtl w:val="0"/>
              </w:rPr>
            </w:r>
          </w:p>
        </w:tc>
      </w:tr>
      <w:tr>
        <w:trPr>
          <w:cantSplit w:val="0"/>
          <w:tblHeader w:val="0"/>
        </w:trPr>
        <w:tc>
          <w:tcPr/>
          <w:p w:rsidR="00000000" w:rsidDel="00000000" w:rsidP="00000000" w:rsidRDefault="00000000" w:rsidRPr="00000000" w14:paraId="000000A5">
            <w:pPr>
              <w:spacing w:after="0" w:lineRule="auto"/>
              <w:ind w:left="-8" w:firstLine="0"/>
              <w:rPr>
                <w:b w:val="1"/>
                <w:bCs w:val="1"/>
              </w:rPr>
            </w:pPr>
            <w:r w:rsidDel="00000000" w:rsidR="00000000" w:rsidRPr="00000000">
              <w:rPr>
                <w:b w:val="1"/>
                <w:bCs w:val="1"/>
                <w:rtl w:val="0"/>
              </w:rPr>
              <w:t xml:space="preserve">3.</w:t>
            </w:r>
            <w:r w:rsidDel="00000000" w:rsidR="00000000" w:rsidRPr="00000000">
              <w:rPr>
                <w:rtl w:val="0"/>
              </w:rPr>
              <w:t xml:space="preserve"> </w:t>
              <w:tab/>
            </w:r>
            <w:r w:rsidDel="00000000" w:rsidR="00000000" w:rsidRPr="00000000">
              <w:rPr>
                <w:b w:val="1"/>
                <w:bCs w:val="1"/>
                <w:rtl w:val="0"/>
              </w:rPr>
              <w:t xml:space="preserve">Társasági nyilatkozatok</w:t>
            </w:r>
          </w:p>
        </w:tc>
        <w:tc>
          <w:tcPr/>
          <w:p w:rsidR="00000000" w:rsidDel="00000000" w:rsidP="00000000" w:rsidRDefault="00000000" w:rsidRPr="00000000" w14:paraId="000000A6">
            <w:pPr>
              <w:spacing w:after="0" w:lineRule="auto"/>
              <w:ind w:left="0" w:firstLine="0"/>
              <w:rPr>
                <w:b w:val="1"/>
                <w:bCs w:val="1"/>
              </w:rPr>
            </w:pPr>
            <w:r w:rsidDel="00000000" w:rsidR="00000000" w:rsidRPr="00000000">
              <w:rPr>
                <w:b w:val="1"/>
                <w:bCs w:val="1"/>
                <w:rtl w:val="0"/>
              </w:rPr>
              <w:t xml:space="preserve">3.</w:t>
            </w:r>
            <w:r w:rsidDel="00000000" w:rsidR="00000000" w:rsidRPr="00000000">
              <w:rPr>
                <w:rtl w:val="0"/>
              </w:rPr>
              <w:t xml:space="preserve"> </w:t>
              <w:tab/>
            </w:r>
            <w:r w:rsidDel="00000000" w:rsidR="00000000" w:rsidRPr="00000000">
              <w:rPr>
                <w:b w:val="1"/>
                <w:bCs w:val="1"/>
                <w:rtl w:val="0"/>
              </w:rPr>
              <w:t xml:space="preserve">Company Representations</w:t>
            </w:r>
          </w:p>
        </w:tc>
      </w:tr>
      <w:tr>
        <w:trPr>
          <w:cantSplit w:val="0"/>
          <w:tblHeader w:val="0"/>
        </w:trPr>
        <w:tc>
          <w:tcPr/>
          <w:p w:rsidR="00000000" w:rsidDel="00000000" w:rsidP="00000000" w:rsidRDefault="00000000" w:rsidRPr="00000000" w14:paraId="000000A7">
            <w:pPr>
              <w:spacing w:after="0" w:lineRule="auto"/>
              <w:ind w:left="-8" w:firstLine="0"/>
              <w:rPr/>
            </w:pPr>
            <w:r w:rsidDel="00000000" w:rsidR="00000000" w:rsidRPr="00000000">
              <w:rPr>
                <w:rtl w:val="0"/>
              </w:rPr>
              <w:t xml:space="preserve">3.1. A Társaság a székhelye bejegyzése szerinti ország jogszabályai szerint szabályosan megalakult és működő gazdasági társaság, amely rendelkezik a jelenlegi üzleti tevékenysége folytatásához szükséges engedélyekkel és jogosultságokkal.</w:t>
            </w:r>
          </w:p>
        </w:tc>
        <w:tc>
          <w:tcPr/>
          <w:p w:rsidR="00000000" w:rsidDel="00000000" w:rsidP="00000000" w:rsidRDefault="00000000" w:rsidRPr="00000000" w14:paraId="000000A8">
            <w:pPr>
              <w:spacing w:after="0" w:lineRule="auto"/>
              <w:ind w:left="0" w:firstLine="0"/>
              <w:rPr/>
            </w:pPr>
            <w:r w:rsidDel="00000000" w:rsidR="00000000" w:rsidRPr="00000000">
              <w:rPr>
                <w:rtl w:val="0"/>
              </w:rPr>
              <w:t xml:space="preserve">3.1 The Company is a corporation duly organized and validly existing under the laws of its country of incorporation, and has the power and authority to own, lease and operate its properties and carry on its business as now conducted.</w:t>
            </w:r>
          </w:p>
        </w:tc>
      </w:tr>
      <w:tr>
        <w:trPr>
          <w:cantSplit w:val="0"/>
          <w:tblHeader w:val="0"/>
        </w:trPr>
        <w:tc>
          <w:tcPr/>
          <w:p w:rsidR="00000000" w:rsidDel="00000000" w:rsidP="00000000" w:rsidRDefault="00000000" w:rsidRPr="00000000" w14:paraId="000000A9">
            <w:pPr>
              <w:spacing w:after="0" w:lineRule="auto"/>
              <w:ind w:left="-8" w:firstLine="0"/>
              <w:rPr/>
            </w:pPr>
            <w:r w:rsidDel="00000000" w:rsidR="00000000" w:rsidRPr="00000000">
              <w:rPr>
                <w:rtl w:val="0"/>
              </w:rPr>
              <w:t xml:space="preserve">3.2. A jelen SAFE megkötése és teljesítése a Társaság hatáskörébe tartozik, és minden szükséges társasági határozat – a 3.4 pont rendelkezéseire is figyelemmel – megfelelően jóváhagyásra került. A Befektető rendelkezik a jelen SAFE érvényes aláírásához, valamint az abban vállalt kötelezettségek teljesítéséhez szükséges jogosultságokkal. A jelen SAFE érvényesen jött létre, joghatás kiváltására alkalmas, és a Társaság magára nézve kötelező erejű kötelezettségvállalásnak ismeri el, azzal a korlátozással, hogy érvényesítését csődeljárás, felszámolási eljárás, egyéb hitelezői igények érvényesítésére vonatkozó jogszabályok, valamint a méltányosság általános elvei akadályozhatják vagy befolyásolhatják. A Társaság rendelkezésére álló információk alapján nem tud olyan jogsértésről, amely (i) jelenlegi alapító okiratát, (ii) a Társaságra alkalmazandó lényeges jogszabályt, rendeletet vagy szabályt, vagy (iii) a Társaság által kötött, vagy rá kötelező lényeges kötelezettségvállalást vagy szerződést érintene, és amely jogsértés vagy szerződésszegés önmagában, illetve más jogsértésekkel vagy szerződésszegésekkel együtt ésszerűen várhatóan a Társaságra nézve lényeges hátrányos következménnyel járna.</w:t>
            </w:r>
          </w:p>
        </w:tc>
        <w:tc>
          <w:tcPr/>
          <w:p w:rsidR="00000000" w:rsidDel="00000000" w:rsidP="00000000" w:rsidRDefault="00000000" w:rsidRPr="00000000" w14:paraId="000000AA">
            <w:pPr>
              <w:spacing w:after="0" w:lineRule="auto"/>
              <w:ind w:left="-8" w:firstLine="0"/>
              <w:rPr/>
            </w:pPr>
            <w:r w:rsidDel="00000000" w:rsidR="00000000" w:rsidRPr="00000000">
              <w:rPr>
                <w:rtl w:val="0"/>
              </w:rPr>
              <w:t xml:space="preserve">3.2 The execution, delivery and performance by the Company of this Safe is within the power of the Company and has been duly authorized by all necessary actions on the part of the Company (subject to section 3.4). This Safe constitutes a legal, valid and binding obligation of the Company, enforceable against the Company in accordance with its terms, except as limited by bankruptcy, insolvency or other laws of general application relating to or affecting the enforcement of creditors’ rights generally and general principles of equity.  To its knowledge, the Company is not in violation of (i) its current articles of association, (ii) any material statute, rule or regulation applicable to the Company or (iii) any material debt or contract to which the Company is a party or by which it is bound, where, in each case, such violation or default, individually, or together with all such violations or defaults, could reasonably be expected to have a material adverse effect on the Company.</w:t>
            </w:r>
          </w:p>
        </w:tc>
      </w:tr>
      <w:tr>
        <w:trPr>
          <w:cantSplit w:val="0"/>
          <w:tblHeader w:val="0"/>
        </w:trPr>
        <w:tc>
          <w:tcPr/>
          <w:p w:rsidR="00000000" w:rsidDel="00000000" w:rsidP="00000000" w:rsidRDefault="00000000" w:rsidRPr="00000000" w14:paraId="000000AB">
            <w:pPr>
              <w:spacing w:after="0" w:lineRule="auto"/>
              <w:ind w:left="-8" w:firstLine="0"/>
              <w:rPr/>
            </w:pPr>
            <w:r w:rsidDel="00000000" w:rsidR="00000000" w:rsidRPr="00000000">
              <w:rPr>
                <w:rtl w:val="0"/>
              </w:rPr>
              <w:t xml:space="preserve">3.3. A jelen SAFE-ben foglalt ügylet teljesítése vagy végrehajtása nem eredményezi, és előreláthatólag nem is fogja eredményezni: (i) a Társaságra nézve alkalmazandó lényeges bírósági határozat, jogszabály, rendelet vagy szabály megsértését; (ii) olyan lényeges szerződés vagy kötelezettség esedékessé válását, amelynek a Társaság kötelezettje, vagy amely a Társaságot bármely módon korlátozza; továbbá (iii) a Társaság bármely vagyontárgyára, eszközére vagy bevételére zálogjog, óvadék vagy egyéb biztosíték alapítását vagy kikötését, illetve a Társaságra, annak üzleti tevékenységére vagy működésére alkalmazandó bármely lényeges engedély, jogosultság vagy hatósági hozzájárulás felfüggesztését, elvesztését vagy meg nem újítását.</w:t>
            </w:r>
          </w:p>
        </w:tc>
        <w:tc>
          <w:tcPr/>
          <w:p w:rsidR="00000000" w:rsidDel="00000000" w:rsidP="00000000" w:rsidRDefault="00000000" w:rsidRPr="00000000" w14:paraId="000000AC">
            <w:pPr>
              <w:spacing w:after="0" w:lineRule="auto"/>
              <w:ind w:left="0" w:firstLine="0"/>
              <w:rPr/>
            </w:pPr>
            <w:r w:rsidDel="00000000" w:rsidR="00000000" w:rsidRPr="00000000">
              <w:rPr>
                <w:rtl w:val="0"/>
              </w:rPr>
              <w:t xml:space="preserve">3.3 The performance and consummation of the transactions contemplated by this Safe do not and will not: (i) violate any material judgment, statute, rule or regulation applicable to the Company; (ii) result in the acceleration of any material debt or contract to which the Company is a party or by which it is bound; or (iii) result in the creation or imposition of any lien on any property, asset or revenue of the Company or the suspension, forfeiture, or nonrenewal of any material permit, license or authorization applicable to the Company, its business or operations.</w:t>
            </w:r>
          </w:p>
        </w:tc>
      </w:tr>
      <w:tr>
        <w:trPr>
          <w:cantSplit w:val="0"/>
          <w:tblHeader w:val="0"/>
        </w:trPr>
        <w:tc>
          <w:tcPr/>
          <w:p w:rsidR="00000000" w:rsidDel="00000000" w:rsidP="00000000" w:rsidRDefault="00000000" w:rsidRPr="00000000" w14:paraId="000000AD">
            <w:pPr>
              <w:spacing w:after="0" w:lineRule="auto"/>
              <w:ind w:left="-8" w:firstLine="0"/>
              <w:rPr/>
            </w:pPr>
            <w:r w:rsidDel="00000000" w:rsidR="00000000" w:rsidRPr="00000000">
              <w:rPr>
                <w:rtl w:val="0"/>
              </w:rPr>
              <w:t xml:space="preserve">3.4. A jelen SAFE teljesítéséhez nincs szükség további hozzájárulásra vagy jóváhagyásra, kivéve: (i) a Társaság döntéshozó szervének jóváhagyásait (például igazgatósági vagy taggyűlési határozatokat); (ii) az értékpapírokra vonatkozó jogszabályok szerinti szükséges bejelentéseket vagy nyilvántartásba vételt (amennyiben alkalmazandó); valamint (iii) az 1. pont szerinti kibocsátható részesedés jóváhagyásához szükséges társasági határozatokat.</w:t>
            </w:r>
          </w:p>
        </w:tc>
        <w:tc>
          <w:tcPr/>
          <w:p w:rsidR="00000000" w:rsidDel="00000000" w:rsidP="00000000" w:rsidRDefault="00000000" w:rsidRPr="00000000" w14:paraId="000000AE">
            <w:pPr>
              <w:spacing w:after="0" w:lineRule="auto"/>
              <w:ind w:left="0" w:firstLine="0"/>
              <w:rPr/>
            </w:pPr>
            <w:r w:rsidDel="00000000" w:rsidR="00000000" w:rsidRPr="00000000">
              <w:rPr>
                <w:rtl w:val="0"/>
              </w:rPr>
              <w:t xml:space="preserve">3.4 No consents or approvals are required in connection with the performance of this Safe, other than: (i) the Company’s corporate approvals; (ii) any qualifications or filings under applicable securities laws (to the extent applicable); and (iii) necessary corporate approvals for the authorization of Capital Stock issuable pursuant to Section 1.</w:t>
            </w:r>
          </w:p>
        </w:tc>
      </w:tr>
      <w:tr>
        <w:trPr>
          <w:cantSplit w:val="0"/>
          <w:tblHeader w:val="0"/>
        </w:trPr>
        <w:tc>
          <w:tcPr/>
          <w:p w:rsidR="00000000" w:rsidDel="00000000" w:rsidP="00000000" w:rsidRDefault="00000000" w:rsidRPr="00000000" w14:paraId="000000AF">
            <w:pPr>
              <w:spacing w:after="0" w:lineRule="auto"/>
              <w:ind w:left="-8" w:firstLine="0"/>
              <w:rPr/>
            </w:pPr>
            <w:r w:rsidDel="00000000" w:rsidR="00000000" w:rsidRPr="00000000">
              <w:rPr>
                <w:rtl w:val="0"/>
              </w:rPr>
              <w:t xml:space="preserve">3.5. A Társaság rendelkezik, vagy kereskedelmi szempontból ésszerű feltételek mellett megszerezheti mindazon szellemi tulajdonjogokat (szabadalmakat, védjegyeket, szolgáltatási védjegyeket, kereskedelmi neveket, szerzői jogokat, üzleti titkokat, engedélyeket, információkat, eljárásokat és egyéb szellemi tulajdonjogokat), amelyek szükségesek üzleti tevékenysége jelenlegi és tervezett folytatásához, anélkül, hogy ezen jogok megszerzése vagy használata bármely harmadik fél jogait vagy jogos érdekeit sértené.</w:t>
            </w:r>
          </w:p>
        </w:tc>
        <w:tc>
          <w:tcPr/>
          <w:p w:rsidR="00000000" w:rsidDel="00000000" w:rsidP="00000000" w:rsidRDefault="00000000" w:rsidRPr="00000000" w14:paraId="000000B0">
            <w:pPr>
              <w:spacing w:after="0" w:lineRule="auto"/>
              <w:ind w:left="0" w:firstLine="0"/>
              <w:rPr/>
            </w:pPr>
            <w:r w:rsidDel="00000000" w:rsidR="00000000" w:rsidRPr="00000000">
              <w:rPr>
                <w:rtl w:val="0"/>
              </w:rPr>
              <w:t xml:space="preserve">3.5 To its knowledge, the Company owns or possesses (or can obtain on commercially reasonable terms) sufficient legal rights to all patents, trademarks, service marks, trade names, copyrights, trade secrets, licenses, information, processes and other intellectual property rights necessary for its business as now conducted and as currently proposed to be conducted, without any conflict with, or infringement of the rights of, others.</w:t>
            </w:r>
          </w:p>
        </w:tc>
      </w:tr>
      <w:tr>
        <w:trPr>
          <w:cantSplit w:val="0"/>
          <w:tblHeader w:val="0"/>
        </w:trPr>
        <w:tc>
          <w:tcPr/>
          <w:p w:rsidR="00000000" w:rsidDel="00000000" w:rsidP="00000000" w:rsidRDefault="00000000" w:rsidRPr="00000000" w14:paraId="000000B1">
            <w:pPr>
              <w:spacing w:after="0" w:lineRule="auto"/>
              <w:ind w:left="-8" w:firstLine="0"/>
              <w:rPr/>
            </w:pPr>
            <w:r w:rsidDel="00000000" w:rsidR="00000000" w:rsidRPr="00000000">
              <w:rPr>
                <w:b w:val="1"/>
                <w:bCs w:val="1"/>
                <w:rtl w:val="0"/>
              </w:rPr>
              <w:t xml:space="preserve">4.</w:t>
            </w:r>
            <w:r w:rsidDel="00000000" w:rsidR="00000000" w:rsidRPr="00000000">
              <w:rPr>
                <w:rtl w:val="0"/>
              </w:rPr>
              <w:t xml:space="preserve"> </w:t>
              <w:tab/>
            </w:r>
            <w:r w:rsidDel="00000000" w:rsidR="00000000" w:rsidRPr="00000000">
              <w:rPr>
                <w:b w:val="1"/>
                <w:bCs w:val="1"/>
                <w:rtl w:val="0"/>
              </w:rPr>
              <w:t xml:space="preserve">Befektetői nyilatkozatok</w:t>
            </w:r>
            <w:r w:rsidDel="00000000" w:rsidR="00000000" w:rsidRPr="00000000">
              <w:rPr>
                <w:rtl w:val="0"/>
              </w:rPr>
            </w:r>
          </w:p>
        </w:tc>
        <w:tc>
          <w:tcPr/>
          <w:p w:rsidR="00000000" w:rsidDel="00000000" w:rsidP="00000000" w:rsidRDefault="00000000" w:rsidRPr="00000000" w14:paraId="000000B2">
            <w:pPr>
              <w:spacing w:after="0" w:lineRule="auto"/>
              <w:ind w:left="0" w:firstLine="0"/>
              <w:rPr>
                <w:b w:val="1"/>
                <w:bCs w:val="1"/>
              </w:rPr>
            </w:pPr>
            <w:r w:rsidDel="00000000" w:rsidR="00000000" w:rsidRPr="00000000">
              <w:rPr>
                <w:b w:val="1"/>
                <w:bCs w:val="1"/>
                <w:rtl w:val="0"/>
              </w:rPr>
              <w:t xml:space="preserve">4.</w:t>
            </w:r>
            <w:r w:rsidDel="00000000" w:rsidR="00000000" w:rsidRPr="00000000">
              <w:rPr>
                <w:rtl w:val="0"/>
              </w:rPr>
              <w:t xml:space="preserve"> </w:t>
              <w:tab/>
            </w:r>
            <w:r w:rsidDel="00000000" w:rsidR="00000000" w:rsidRPr="00000000">
              <w:rPr>
                <w:b w:val="1"/>
                <w:bCs w:val="1"/>
                <w:rtl w:val="0"/>
              </w:rPr>
              <w:t xml:space="preserve">Investor Representations</w:t>
            </w:r>
          </w:p>
        </w:tc>
      </w:tr>
      <w:tr>
        <w:trPr>
          <w:cantSplit w:val="0"/>
          <w:tblHeader w:val="0"/>
        </w:trPr>
        <w:tc>
          <w:tcPr/>
          <w:p w:rsidR="00000000" w:rsidDel="00000000" w:rsidP="00000000" w:rsidRDefault="00000000" w:rsidRPr="00000000" w14:paraId="000000B3">
            <w:pPr>
              <w:spacing w:after="0" w:lineRule="auto"/>
              <w:ind w:left="-8" w:firstLine="0"/>
              <w:rPr/>
            </w:pPr>
            <w:bookmarkStart w:colFirst="0" w:colLast="0" w:name="_heading=h.st8ptqpzvdu1" w:id="0"/>
            <w:bookmarkEnd w:id="0"/>
            <w:r w:rsidDel="00000000" w:rsidR="00000000" w:rsidRPr="00000000">
              <w:rPr>
                <w:rtl w:val="0"/>
              </w:rPr>
              <w:t xml:space="preserve">4.1. A Befektelő rendelkezik a jelen SAFE érvényes aláírásához, valamint az abban vállalt kötelezettségek teljesítéséhez szükséges jogosultságokkal. A jelen SAFE érvényesen jött létre, joghatás kiváltására alkalmas, és a Befektető magára nézve kötelező erejűnek ismeri el, azzal a korlátozással, hogy érvényesítését a csődeljárás, felszámolási eljárás, egyéb hitelezői igények érvényesítésére vonatkozó jogszabályok, valamint a méltányosság általános elvei akadályozhatják vagy befolyásolhatják.</w:t>
            </w:r>
          </w:p>
        </w:tc>
        <w:tc>
          <w:tcPr/>
          <w:p w:rsidR="00000000" w:rsidDel="00000000" w:rsidP="00000000" w:rsidRDefault="00000000" w:rsidRPr="00000000" w14:paraId="000000B4">
            <w:pPr>
              <w:spacing w:after="0" w:lineRule="auto"/>
              <w:ind w:left="0" w:firstLine="0"/>
              <w:rPr/>
            </w:pPr>
            <w:r w:rsidDel="00000000" w:rsidR="00000000" w:rsidRPr="00000000">
              <w:rPr>
                <w:rtl w:val="0"/>
              </w:rPr>
              <w:t xml:space="preserve">4.1 The Investor has full legal capacity, power and authority to execute and deliver this Safe and to perform its obligations hereunder. This Safe constitutes valid and binding obligation of the Investor, enforceable in accordance with its terms, except as limited by bankruptcy, insolvency or other laws of general application relating to or affecting the enforcement of creditors’ rights generally and general principles of equity.</w:t>
            </w:r>
          </w:p>
        </w:tc>
      </w:tr>
      <w:tr>
        <w:trPr>
          <w:cantSplit w:val="0"/>
          <w:tblHeader w:val="0"/>
        </w:trPr>
        <w:tc>
          <w:tcPr/>
          <w:p w:rsidR="00000000" w:rsidDel="00000000" w:rsidP="00000000" w:rsidRDefault="00000000" w:rsidRPr="00000000" w14:paraId="000000B5">
            <w:pPr>
              <w:spacing w:after="0" w:lineRule="auto"/>
              <w:ind w:left="-8" w:firstLine="0"/>
              <w:rPr/>
            </w:pPr>
            <w:r w:rsidDel="00000000" w:rsidR="00000000" w:rsidRPr="00000000">
              <w:rPr>
                <w:rtl w:val="0"/>
              </w:rPr>
              <w:t xml:space="preserve">4.2. A Befektető meggyőződött arról, hogy a jelen SAFE, valamint az annak alapján megszerezhető értékpapírok megszerzésére irányuló ajánlat és annak elfogadása maradéktalanul megfelel a Befektető illetékessége szerinti joghatóságra irányadó jogszabályoknak, ideértve különösen:</w:t>
            </w:r>
          </w:p>
        </w:tc>
        <w:tc>
          <w:tcPr/>
          <w:p w:rsidR="00000000" w:rsidDel="00000000" w:rsidP="00000000" w:rsidRDefault="00000000" w:rsidRPr="00000000" w14:paraId="000000B6">
            <w:pPr>
              <w:spacing w:after="0" w:lineRule="auto"/>
              <w:ind w:left="0" w:firstLine="0"/>
              <w:rPr/>
            </w:pPr>
            <w:r w:rsidDel="00000000" w:rsidR="00000000" w:rsidRPr="00000000">
              <w:rPr>
                <w:rtl w:val="0"/>
              </w:rPr>
              <w:t xml:space="preserve">4.2 The Investor is satisfied as to the full observance of the laws of Investor’s jurisdiction in connection with any invitation to purchase the Securities, including</w:t>
            </w:r>
          </w:p>
        </w:tc>
      </w:tr>
      <w:tr>
        <w:trPr>
          <w:cantSplit w:val="0"/>
          <w:tblHeader w:val="0"/>
        </w:trPr>
        <w:tc>
          <w:tcPr/>
          <w:p w:rsidR="00000000" w:rsidDel="00000000" w:rsidP="00000000" w:rsidRDefault="00000000" w:rsidRPr="00000000" w14:paraId="000000B7">
            <w:pPr>
              <w:spacing w:after="0" w:lineRule="auto"/>
              <w:ind w:left="-8" w:firstLine="0"/>
              <w:rPr/>
            </w:pPr>
            <w:r w:rsidDel="00000000" w:rsidR="00000000" w:rsidRPr="00000000">
              <w:rPr>
                <w:rtl w:val="0"/>
              </w:rPr>
              <w:t xml:space="preserve">4.2.1. az értékpapírok megszerzésére irányadó jogszabályi rendelkezések;</w:t>
            </w:r>
          </w:p>
        </w:tc>
        <w:tc>
          <w:tcPr/>
          <w:p w:rsidR="00000000" w:rsidDel="00000000" w:rsidP="00000000" w:rsidRDefault="00000000" w:rsidRPr="00000000" w14:paraId="000000B8">
            <w:pPr>
              <w:spacing w:after="0" w:lineRule="auto"/>
              <w:ind w:left="0" w:firstLine="0"/>
              <w:rPr/>
            </w:pPr>
            <w:r w:rsidDel="00000000" w:rsidR="00000000" w:rsidRPr="00000000">
              <w:rPr>
                <w:rtl w:val="0"/>
              </w:rPr>
              <w:t xml:space="preserve">4.2.1 the legal requirements within Investor’s jurisdiction for the purchase of the Securities,</w:t>
            </w:r>
          </w:p>
        </w:tc>
      </w:tr>
      <w:tr>
        <w:trPr>
          <w:cantSplit w:val="0"/>
          <w:tblHeader w:val="0"/>
        </w:trPr>
        <w:tc>
          <w:tcPr/>
          <w:p w:rsidR="00000000" w:rsidDel="00000000" w:rsidP="00000000" w:rsidRDefault="00000000" w:rsidRPr="00000000" w14:paraId="000000B9">
            <w:pPr>
              <w:spacing w:after="0" w:lineRule="auto"/>
              <w:ind w:left="-8" w:firstLine="0"/>
              <w:rPr/>
            </w:pPr>
            <w:r w:rsidDel="00000000" w:rsidR="00000000" w:rsidRPr="00000000">
              <w:rPr>
                <w:rtl w:val="0"/>
              </w:rPr>
              <w:t xml:space="preserve">4.2.2. az ilyen vásárlásra vonatkozó bármely devizakorlátozást;</w:t>
            </w:r>
          </w:p>
        </w:tc>
        <w:tc>
          <w:tcPr/>
          <w:p w:rsidR="00000000" w:rsidDel="00000000" w:rsidP="00000000" w:rsidRDefault="00000000" w:rsidRPr="00000000" w14:paraId="000000BA">
            <w:pPr>
              <w:spacing w:after="0" w:lineRule="auto"/>
              <w:ind w:left="0" w:firstLine="0"/>
              <w:rPr/>
            </w:pPr>
            <w:r w:rsidDel="00000000" w:rsidR="00000000" w:rsidRPr="00000000">
              <w:rPr>
                <w:rtl w:val="0"/>
              </w:rPr>
              <w:t xml:space="preserve">4.2.2 any foreign exchange restrictions applicable to such purchase,</w:t>
            </w:r>
          </w:p>
        </w:tc>
      </w:tr>
      <w:tr>
        <w:trPr>
          <w:cantSplit w:val="0"/>
          <w:tblHeader w:val="0"/>
        </w:trPr>
        <w:tc>
          <w:tcPr/>
          <w:p w:rsidR="00000000" w:rsidDel="00000000" w:rsidP="00000000" w:rsidRDefault="00000000" w:rsidRPr="00000000" w14:paraId="000000BB">
            <w:pPr>
              <w:spacing w:after="0" w:lineRule="auto"/>
              <w:ind w:left="-8" w:firstLine="0"/>
              <w:rPr/>
            </w:pPr>
            <w:r w:rsidDel="00000000" w:rsidR="00000000" w:rsidRPr="00000000">
              <w:rPr>
                <w:rtl w:val="0"/>
              </w:rPr>
              <w:t xml:space="preserve">4.2.3. az esetlegesen szükséges hatósági vagy más hozzájárulások és engedélyek beszerzését; valamint</w:t>
            </w:r>
          </w:p>
        </w:tc>
        <w:tc>
          <w:tcPr/>
          <w:p w:rsidR="00000000" w:rsidDel="00000000" w:rsidP="00000000" w:rsidRDefault="00000000" w:rsidRPr="00000000" w14:paraId="000000BC">
            <w:pPr>
              <w:spacing w:after="0" w:lineRule="auto"/>
              <w:ind w:left="0" w:firstLine="0"/>
              <w:rPr/>
            </w:pPr>
            <w:r w:rsidDel="00000000" w:rsidR="00000000" w:rsidRPr="00000000">
              <w:rPr>
                <w:rtl w:val="0"/>
              </w:rPr>
              <w:t xml:space="preserve">4.2.3 any governmental or other consents that may need to be obtained and</w:t>
            </w:r>
          </w:p>
        </w:tc>
      </w:tr>
      <w:tr>
        <w:trPr>
          <w:cantSplit w:val="0"/>
          <w:tblHeader w:val="0"/>
        </w:trPr>
        <w:tc>
          <w:tcPr/>
          <w:p w:rsidR="00000000" w:rsidDel="00000000" w:rsidP="00000000" w:rsidRDefault="00000000" w:rsidRPr="00000000" w14:paraId="000000BD">
            <w:pPr>
              <w:spacing w:after="0" w:lineRule="auto"/>
              <w:ind w:left="-8" w:firstLine="0"/>
              <w:rPr/>
            </w:pPr>
            <w:r w:rsidDel="00000000" w:rsidR="00000000" w:rsidRPr="00000000">
              <w:rPr>
                <w:rtl w:val="0"/>
              </w:rPr>
              <w:t xml:space="preserve">4.2.4. az értékpapírok megszerzéséhez, birtoklásához, visszaváltásához, értékesítéséhez vagy átruházásához kapcsolódó jövedelemadó- és egyéb adókövetkezményeket.</w:t>
            </w:r>
          </w:p>
        </w:tc>
        <w:tc>
          <w:tcPr/>
          <w:p w:rsidR="00000000" w:rsidDel="00000000" w:rsidP="00000000" w:rsidRDefault="00000000" w:rsidRPr="00000000" w14:paraId="000000BE">
            <w:pPr>
              <w:spacing w:after="0" w:lineRule="auto"/>
              <w:ind w:left="0" w:firstLine="0"/>
              <w:rPr/>
            </w:pPr>
            <w:r w:rsidDel="00000000" w:rsidR="00000000" w:rsidRPr="00000000">
              <w:rPr>
                <w:rtl w:val="0"/>
              </w:rPr>
              <w:t xml:space="preserve">4.2.4 the income tax and other tax consequences, if any, that may be relevant to the purchase, holding, redemption, sale or transfer of the Securities.</w:t>
            </w:r>
          </w:p>
        </w:tc>
      </w:tr>
      <w:tr>
        <w:trPr>
          <w:cantSplit w:val="0"/>
          <w:tblHeader w:val="0"/>
        </w:trPr>
        <w:tc>
          <w:tcPr/>
          <w:p w:rsidR="00000000" w:rsidDel="00000000" w:rsidP="00000000" w:rsidRDefault="00000000" w:rsidRPr="00000000" w14:paraId="000000BF">
            <w:pPr>
              <w:spacing w:after="0" w:lineRule="auto"/>
              <w:ind w:left="-8" w:firstLine="0"/>
              <w:rPr/>
            </w:pPr>
            <w:r w:rsidDel="00000000" w:rsidR="00000000" w:rsidRPr="00000000">
              <w:rPr>
                <w:rtl w:val="0"/>
              </w:rPr>
              <w:t xml:space="preserve">4.3. A Befektető megerősíti, hogy a jelen SAFE-re vonatkozó jegyzése és az ellenérték megfizetése, valamint az ebből eredő értékpapírok megszerzése nem sérti a Befektető illetékessége szerinti joghatóságra irányadó értékpapírra vonatkozó vagy egyéb jogszabályokat.</w:t>
            </w:r>
          </w:p>
        </w:tc>
        <w:tc>
          <w:tcPr/>
          <w:p w:rsidR="00000000" w:rsidDel="00000000" w:rsidP="00000000" w:rsidRDefault="00000000" w:rsidRPr="00000000" w14:paraId="000000C0">
            <w:pPr>
              <w:spacing w:after="0" w:lineRule="auto"/>
              <w:ind w:left="0" w:firstLine="0"/>
              <w:rPr/>
            </w:pPr>
            <w:r w:rsidDel="00000000" w:rsidR="00000000" w:rsidRPr="00000000">
              <w:rPr>
                <w:rtl w:val="0"/>
              </w:rPr>
              <w:t xml:space="preserve">4.3 Investor’s subscription and payment for, and Investor’s continued beneficial ownership of, the Securities will not violate any applicable securities or other laws of Investor’s jurisdiction.</w:t>
            </w:r>
          </w:p>
        </w:tc>
      </w:tr>
      <w:tr>
        <w:trPr>
          <w:cantSplit w:val="0"/>
          <w:tblHeader w:val="0"/>
        </w:trPr>
        <w:tc>
          <w:tcPr/>
          <w:p w:rsidR="00000000" w:rsidDel="00000000" w:rsidP="00000000" w:rsidRDefault="00000000" w:rsidRPr="00000000" w14:paraId="000000C1">
            <w:pPr>
              <w:spacing w:after="0" w:lineRule="auto"/>
              <w:ind w:left="-8" w:firstLine="0"/>
              <w:rPr/>
            </w:pPr>
            <w:r w:rsidDel="00000000" w:rsidR="00000000" w:rsidRPr="00000000">
              <w:rPr>
                <w:rtl w:val="0"/>
              </w:rPr>
              <w:t xml:space="preserve">4.4. A Befektető a jelen SAFE-et és az annak alapján megszerezhető értékpapírokat saját nevében és saját javára szerzi meg befektetési céllal. A befektető nem továbbértékesítési vagy forgalomba hozatali céllal, továbbá névlegesen (nominee) vagy ügynökként jár el, valamint jelenleg nem áll szándékában azokat eladni, azokban részesedést átruházni, vagy egyéb módon forgalomba hozni.</w:t>
            </w:r>
          </w:p>
        </w:tc>
        <w:tc>
          <w:tcPr/>
          <w:p w:rsidR="00000000" w:rsidDel="00000000" w:rsidP="00000000" w:rsidRDefault="00000000" w:rsidRPr="00000000" w14:paraId="000000C2">
            <w:pPr>
              <w:spacing w:after="0" w:lineRule="auto"/>
              <w:ind w:left="0" w:firstLine="0"/>
              <w:rPr/>
            </w:pPr>
            <w:r w:rsidDel="00000000" w:rsidR="00000000" w:rsidRPr="00000000">
              <w:rPr>
                <w:rtl w:val="0"/>
              </w:rPr>
              <w:t xml:space="preserve">4.4 The Investor is purchasing this Safe and the securities to be acquired by the Investor hereunder for its own account for investment, not as a nominee or agent, and not with a view to, or for resale in connection with, the distribution thereof, and the Investor has no present intention of selling, granting any participation in, or otherwise distributing the same.</w:t>
            </w:r>
          </w:p>
        </w:tc>
      </w:tr>
      <w:tr>
        <w:trPr>
          <w:cantSplit w:val="0"/>
          <w:tblHeader w:val="0"/>
        </w:trPr>
        <w:tc>
          <w:tcPr/>
          <w:p w:rsidR="00000000" w:rsidDel="00000000" w:rsidP="00000000" w:rsidRDefault="00000000" w:rsidRPr="00000000" w14:paraId="000000C3">
            <w:pPr>
              <w:spacing w:after="0" w:lineRule="auto"/>
              <w:ind w:left="-8" w:firstLine="0"/>
              <w:rPr/>
            </w:pPr>
            <w:r w:rsidDel="00000000" w:rsidR="00000000" w:rsidRPr="00000000">
              <w:rPr>
                <w:rtl w:val="0"/>
              </w:rPr>
              <w:t xml:space="preserve">4.5. A Befektető, mint szakmai befektető rendelkezik a befektetés előnyeinek és kockázatainak felméréséhez szükséges pénzügyi, illetve üzleti ismeretekkel és tapasztalattal, továbbá képes a befektetés gazdasági kockázatát határozatlan ideig viselni, valamint vállalni annak teljes elvesztését anélkül, hogy ez a Befektető pénzügyi helyzetét károsítaná. </w:t>
            </w:r>
          </w:p>
        </w:tc>
        <w:tc>
          <w:tcPr/>
          <w:p w:rsidR="00000000" w:rsidDel="00000000" w:rsidP="00000000" w:rsidRDefault="00000000" w:rsidRPr="00000000" w14:paraId="000000C4">
            <w:pPr>
              <w:spacing w:after="0" w:lineRule="auto"/>
              <w:ind w:left="0" w:firstLine="0"/>
              <w:rPr/>
            </w:pPr>
            <w:r w:rsidDel="00000000" w:rsidR="00000000" w:rsidRPr="00000000">
              <w:rPr>
                <w:rtl w:val="0"/>
              </w:rPr>
              <w:t xml:space="preserve">4.5 The Investor has such knowledge and experience in financial and business matters that the Investor is capable of evaluating the merits and risks of such investment, is able to incur a complete loss of such investment without impairing the Investor’s financial condition and is able to bear the economic risk of such investment for an indefinite period of time.</w:t>
            </w:r>
          </w:p>
        </w:tc>
      </w:tr>
      <w:tr>
        <w:trPr>
          <w:cantSplit w:val="0"/>
          <w:tblHeader w:val="0"/>
        </w:trPr>
        <w:tc>
          <w:tcPr/>
          <w:p w:rsidR="00000000" w:rsidDel="00000000" w:rsidP="00000000" w:rsidRDefault="00000000" w:rsidRPr="00000000" w14:paraId="000000C5">
            <w:pPr>
              <w:spacing w:after="0" w:lineRule="auto"/>
              <w:ind w:left="-8" w:firstLine="0"/>
              <w:rPr/>
            </w:pPr>
            <w:r w:rsidDel="00000000" w:rsidR="00000000" w:rsidRPr="00000000">
              <w:rPr>
                <w:b w:val="1"/>
                <w:bCs w:val="1"/>
                <w:rtl w:val="0"/>
              </w:rPr>
              <w:t xml:space="preserve">5. </w:t>
              <w:tab/>
              <w:t xml:space="preserve"> [OPCIONÁLIS] A befektetők további jogai</w:t>
            </w:r>
            <w:r w:rsidDel="00000000" w:rsidR="00000000" w:rsidRPr="00000000">
              <w:rPr>
                <w:rtl w:val="0"/>
              </w:rPr>
            </w:r>
          </w:p>
        </w:tc>
        <w:tc>
          <w:tcPr/>
          <w:p w:rsidR="00000000" w:rsidDel="00000000" w:rsidP="00000000" w:rsidRDefault="00000000" w:rsidRPr="00000000" w14:paraId="000000C6">
            <w:pPr>
              <w:spacing w:after="0" w:lineRule="auto"/>
              <w:ind w:left="0" w:firstLine="0"/>
              <w:rPr>
                <w:b w:val="1"/>
                <w:bCs w:val="1"/>
              </w:rPr>
            </w:pPr>
            <w:r w:rsidDel="00000000" w:rsidR="00000000" w:rsidRPr="00000000">
              <w:rPr>
                <w:b w:val="1"/>
                <w:bCs w:val="1"/>
                <w:rtl w:val="0"/>
              </w:rPr>
              <w:t xml:space="preserve">5. </w:t>
              <w:tab/>
              <w:t xml:space="preserve"> [OPTIONAL] Investors’ Additional Rights</w:t>
            </w:r>
            <w:r w:rsidDel="00000000" w:rsidR="00000000" w:rsidRPr="00000000">
              <w:rPr>
                <w:b w:val="1"/>
                <w:bCs w:val="1"/>
                <w:vertAlign w:val="superscript"/>
              </w:rPr>
              <w:footnoteReference w:customMarkFollows="0" w:id="21"/>
            </w:r>
            <w:r w:rsidDel="00000000" w:rsidR="00000000" w:rsidRPr="00000000">
              <w:rPr>
                <w:rtl w:val="0"/>
              </w:rPr>
            </w:r>
          </w:p>
        </w:tc>
      </w:tr>
      <w:tr>
        <w:trPr>
          <w:cantSplit w:val="0"/>
          <w:tblHeader w:val="0"/>
        </w:trPr>
        <w:tc>
          <w:tcPr/>
          <w:p w:rsidR="00000000" w:rsidDel="00000000" w:rsidP="00000000" w:rsidRDefault="00000000" w:rsidRPr="00000000" w14:paraId="000000C7">
            <w:pPr>
              <w:spacing w:after="0" w:lineRule="auto"/>
              <w:ind w:left="-8" w:firstLine="0"/>
              <w:rPr/>
            </w:pPr>
            <w:r w:rsidDel="00000000" w:rsidR="00000000" w:rsidRPr="00000000">
              <w:rPr>
                <w:rtl w:val="0"/>
              </w:rPr>
              <w:t xml:space="preserve">5.1. </w:t>
              <w:tab/>
              <w:t xml:space="preserve">Tájékoztatási jogok</w:t>
            </w:r>
          </w:p>
        </w:tc>
        <w:tc>
          <w:tcPr/>
          <w:p w:rsidR="00000000" w:rsidDel="00000000" w:rsidP="00000000" w:rsidRDefault="00000000" w:rsidRPr="00000000" w14:paraId="000000C8">
            <w:pPr>
              <w:spacing w:after="0" w:lineRule="auto"/>
              <w:ind w:left="0" w:firstLine="0"/>
              <w:rPr/>
            </w:pPr>
            <w:r w:rsidDel="00000000" w:rsidR="00000000" w:rsidRPr="00000000">
              <w:rPr>
                <w:rtl w:val="0"/>
              </w:rPr>
              <w:t xml:space="preserve">5.1</w:t>
              <w:tab/>
              <w:t xml:space="preserve">Information rights</w:t>
            </w:r>
          </w:p>
        </w:tc>
      </w:tr>
      <w:tr>
        <w:trPr>
          <w:cantSplit w:val="0"/>
          <w:tblHeader w:val="0"/>
        </w:trPr>
        <w:tc>
          <w:tcPr/>
          <w:p w:rsidR="00000000" w:rsidDel="00000000" w:rsidP="00000000" w:rsidRDefault="00000000" w:rsidRPr="00000000" w14:paraId="000000C9">
            <w:pPr>
              <w:spacing w:after="0" w:lineRule="auto"/>
              <w:ind w:left="-8" w:firstLine="0"/>
              <w:rPr/>
            </w:pPr>
            <w:r w:rsidDel="00000000" w:rsidR="00000000" w:rsidRPr="00000000">
              <w:rPr>
                <w:rtl w:val="0"/>
              </w:rPr>
              <w:t xml:space="preserve">5.1.1. [1. OPCIÓ: A Társaság köteles a Befektető részére is megküldeni azokat a beszámolókat, jelentéseket és egyéb dokumentumokat, amelyeket a többi tulajdonosnak is megküld, azokkal egyidejűleg.]</w:t>
            </w:r>
          </w:p>
        </w:tc>
        <w:tc>
          <w:tcPr/>
          <w:p w:rsidR="00000000" w:rsidDel="00000000" w:rsidP="00000000" w:rsidRDefault="00000000" w:rsidRPr="00000000" w14:paraId="000000CA">
            <w:pPr>
              <w:spacing w:after="0" w:lineRule="auto"/>
              <w:ind w:left="0" w:firstLine="0"/>
              <w:rPr/>
            </w:pPr>
            <w:r w:rsidDel="00000000" w:rsidR="00000000" w:rsidRPr="00000000">
              <w:rPr>
                <w:rtl w:val="0"/>
              </w:rPr>
              <w:t xml:space="preserve">[OPTION 1: The Company shall deliver to the Investor the same reports, updates and other documents that it delivers to any of its shareholders at the same time with their delivery to any such shareholders</w:t>
            </w:r>
            <w:r w:rsidDel="00000000" w:rsidR="00000000" w:rsidRPr="00000000">
              <w:rPr>
                <w:vertAlign w:val="superscript"/>
              </w:rPr>
              <w:footnoteReference w:customMarkFollows="0" w:id="22"/>
            </w:r>
            <w:r w:rsidDel="00000000" w:rsidR="00000000" w:rsidRPr="00000000">
              <w:rPr>
                <w:rtl w:val="0"/>
              </w:rPr>
              <w:t xml:space="preserve">.]</w:t>
            </w:r>
          </w:p>
        </w:tc>
      </w:tr>
      <w:tr>
        <w:trPr>
          <w:cantSplit w:val="0"/>
          <w:tblHeader w:val="0"/>
        </w:trPr>
        <w:tc>
          <w:tcPr/>
          <w:p w:rsidR="00000000" w:rsidDel="00000000" w:rsidP="00000000" w:rsidRDefault="00000000" w:rsidRPr="00000000" w14:paraId="000000CB">
            <w:pPr>
              <w:spacing w:after="0" w:lineRule="auto"/>
              <w:ind w:left="-8" w:firstLine="0"/>
              <w:rPr/>
            </w:pPr>
            <w:r w:rsidDel="00000000" w:rsidR="00000000" w:rsidRPr="00000000">
              <w:rPr>
                <w:rtl w:val="0"/>
              </w:rPr>
              <w:t xml:space="preserve">5.1.2. [2. OPCIÓ: A Társaság köteles a Befektető rendelkezésére bocsátani:</w:t>
            </w:r>
          </w:p>
        </w:tc>
        <w:tc>
          <w:tcPr/>
          <w:p w:rsidR="00000000" w:rsidDel="00000000" w:rsidP="00000000" w:rsidRDefault="00000000" w:rsidRPr="00000000" w14:paraId="000000CC">
            <w:pPr>
              <w:spacing w:after="0" w:lineRule="auto"/>
              <w:ind w:left="0" w:firstLine="0"/>
              <w:rPr/>
            </w:pPr>
            <w:r w:rsidDel="00000000" w:rsidR="00000000" w:rsidRPr="00000000">
              <w:rPr>
                <w:rtl w:val="0"/>
              </w:rPr>
              <w:t xml:space="preserve">[OPTION 2: The Company shall deliver to the Investor</w:t>
            </w:r>
          </w:p>
        </w:tc>
      </w:tr>
      <w:tr>
        <w:trPr>
          <w:cantSplit w:val="0"/>
          <w:tblHeader w:val="0"/>
        </w:trPr>
        <w:tc>
          <w:tcPr/>
          <w:p w:rsidR="00000000" w:rsidDel="00000000" w:rsidP="00000000" w:rsidRDefault="00000000" w:rsidRPr="00000000" w14:paraId="000000CD">
            <w:pPr>
              <w:numPr>
                <w:ilvl w:val="0"/>
                <w:numId w:val="2"/>
              </w:numPr>
              <w:spacing w:after="0" w:lineRule="auto"/>
              <w:ind w:left="352" w:hanging="360"/>
            </w:pPr>
            <w:r w:rsidDel="00000000" w:rsidR="00000000" w:rsidRPr="00000000">
              <w:rPr>
                <w:rtl w:val="0"/>
              </w:rPr>
              <w:t xml:space="preserve">havi beszámolókat a pénzügyekről, a kulcsfontosságú teljesítménymutatókról (KPI) és egyéb mérőszámokról, a Befektetői Többség által jóváhagyott formátumban – minden hónap végétől számított 15 napon belül;</w:t>
            </w:r>
            <w:r w:rsidDel="00000000" w:rsidR="00000000" w:rsidRPr="00000000">
              <w:rPr>
                <w:rtl w:val="0"/>
              </w:rPr>
            </w:r>
          </w:p>
        </w:tc>
        <w:tc>
          <w:tcPr/>
          <w:p w:rsidR="00000000" w:rsidDel="00000000" w:rsidP="00000000" w:rsidRDefault="00000000" w:rsidRPr="00000000" w14:paraId="000000CE">
            <w:pPr>
              <w:spacing w:after="0" w:lineRule="auto"/>
              <w:ind w:left="298" w:hanging="298"/>
              <w:rPr/>
            </w:pPr>
            <w:r w:rsidDel="00000000" w:rsidR="00000000" w:rsidRPr="00000000">
              <w:rPr>
                <w:rtl w:val="0"/>
              </w:rPr>
              <w:t xml:space="preserve">a.</w:t>
            </w:r>
            <w:r w:rsidDel="00000000" w:rsidR="00000000" w:rsidRPr="00000000">
              <w:rPr>
                <w:b w:val="1"/>
                <w:bCs w:val="1"/>
                <w:rtl w:val="0"/>
              </w:rPr>
              <w:t xml:space="preserve"> </w:t>
              <w:tab/>
            </w:r>
            <w:r w:rsidDel="00000000" w:rsidR="00000000" w:rsidRPr="00000000">
              <w:rPr>
                <w:rtl w:val="0"/>
              </w:rPr>
              <w:t xml:space="preserve">monthly reports about financials, KPIs and other metrics in the format approved by the the majority of other oInvestors - within 15 days of the end of each month;</w:t>
            </w:r>
          </w:p>
        </w:tc>
      </w:tr>
      <w:tr>
        <w:trPr>
          <w:cantSplit w:val="0"/>
          <w:tblHeader w:val="0"/>
        </w:trPr>
        <w:tc>
          <w:tcPr/>
          <w:p w:rsidR="00000000" w:rsidDel="00000000" w:rsidP="00000000" w:rsidRDefault="00000000" w:rsidRPr="00000000" w14:paraId="000000CF">
            <w:pPr>
              <w:numPr>
                <w:ilvl w:val="0"/>
                <w:numId w:val="2"/>
              </w:numPr>
              <w:spacing w:after="0" w:lineRule="auto"/>
              <w:ind w:left="352" w:hanging="360"/>
            </w:pPr>
            <w:r w:rsidDel="00000000" w:rsidR="00000000" w:rsidRPr="00000000">
              <w:rPr>
                <w:rtl w:val="0"/>
              </w:rPr>
              <w:t xml:space="preserve">éves pénzügyi beszámolókat – minden pénzügyi év végétől számított három hónapon belül; és</w:t>
            </w:r>
            <w:r w:rsidDel="00000000" w:rsidR="00000000" w:rsidRPr="00000000">
              <w:rPr>
                <w:rtl w:val="0"/>
              </w:rPr>
            </w:r>
          </w:p>
        </w:tc>
        <w:tc>
          <w:tcPr/>
          <w:p w:rsidR="00000000" w:rsidDel="00000000" w:rsidP="00000000" w:rsidRDefault="00000000" w:rsidRPr="00000000" w14:paraId="000000D0">
            <w:pPr>
              <w:spacing w:after="0" w:lineRule="auto"/>
              <w:ind w:left="298" w:hanging="298"/>
              <w:rPr/>
            </w:pPr>
            <w:r w:rsidDel="00000000" w:rsidR="00000000" w:rsidRPr="00000000">
              <w:rPr>
                <w:rtl w:val="0"/>
              </w:rPr>
              <w:t xml:space="preserve">b.</w:t>
            </w:r>
            <w:r w:rsidDel="00000000" w:rsidR="00000000" w:rsidRPr="00000000">
              <w:rPr>
                <w:b w:val="1"/>
                <w:bCs w:val="1"/>
                <w:rtl w:val="0"/>
              </w:rPr>
              <w:tab/>
            </w:r>
            <w:r w:rsidDel="00000000" w:rsidR="00000000" w:rsidRPr="00000000">
              <w:rPr>
                <w:rtl w:val="0"/>
              </w:rPr>
              <w:t xml:space="preserve">annual financial statements - within three months of the end of each financial year and</w:t>
            </w:r>
          </w:p>
        </w:tc>
      </w:tr>
      <w:tr>
        <w:trPr>
          <w:cantSplit w:val="0"/>
          <w:tblHeader w:val="0"/>
        </w:trPr>
        <w:tc>
          <w:tcPr/>
          <w:p w:rsidR="00000000" w:rsidDel="00000000" w:rsidP="00000000" w:rsidRDefault="00000000" w:rsidRPr="00000000" w14:paraId="000000D1">
            <w:pPr>
              <w:numPr>
                <w:ilvl w:val="0"/>
                <w:numId w:val="2"/>
              </w:numPr>
              <w:spacing w:after="0" w:lineRule="auto"/>
              <w:ind w:left="352" w:hanging="360"/>
            </w:pPr>
            <w:r w:rsidDel="00000000" w:rsidR="00000000" w:rsidRPr="00000000">
              <w:rPr>
                <w:rtl w:val="0"/>
              </w:rPr>
              <w:t xml:space="preserve">tájékoztatást a Társaság Tevékenységére jelentős hátrányos hatással bíró eseményekről és körülményekről, kitérve a Társaság által megtett vagy tervezett intézkedésekre – a lehető leghamarabb.]</w:t>
            </w:r>
            <w:r w:rsidDel="00000000" w:rsidR="00000000" w:rsidRPr="00000000">
              <w:rPr>
                <w:rtl w:val="0"/>
              </w:rPr>
            </w:r>
          </w:p>
        </w:tc>
        <w:tc>
          <w:tcPr/>
          <w:p w:rsidR="00000000" w:rsidDel="00000000" w:rsidP="00000000" w:rsidRDefault="00000000" w:rsidRPr="00000000" w14:paraId="000000D2">
            <w:pPr>
              <w:spacing w:after="0" w:lineRule="auto"/>
              <w:ind w:left="298" w:hanging="298"/>
              <w:rPr/>
            </w:pPr>
            <w:r w:rsidDel="00000000" w:rsidR="00000000" w:rsidRPr="00000000">
              <w:rPr>
                <w:rtl w:val="0"/>
              </w:rPr>
              <w:t xml:space="preserve">c.</w:t>
            </w:r>
            <w:r w:rsidDel="00000000" w:rsidR="00000000" w:rsidRPr="00000000">
              <w:rPr>
                <w:b w:val="1"/>
                <w:bCs w:val="1"/>
                <w:rtl w:val="0"/>
              </w:rPr>
              <w:t xml:space="preserve"> </w:t>
              <w:tab/>
            </w:r>
            <w:r w:rsidDel="00000000" w:rsidR="00000000" w:rsidRPr="00000000">
              <w:rPr>
                <w:rtl w:val="0"/>
              </w:rPr>
              <w:t xml:space="preserve">information on events and circumstances that may have a material adverse effect on the business of the Company specifying actions taken or proposed by the Company - as soon as possible.</w:t>
            </w:r>
            <w:r w:rsidDel="00000000" w:rsidR="00000000" w:rsidRPr="00000000">
              <w:rPr>
                <w:vertAlign w:val="superscript"/>
              </w:rPr>
              <w:footnoteReference w:customMarkFollows="0" w:id="23"/>
            </w:r>
            <w:r w:rsidDel="00000000" w:rsidR="00000000" w:rsidRPr="00000000">
              <w:rPr>
                <w:rtl w:val="0"/>
              </w:rPr>
              <w:t xml:space="preserve">]</w:t>
            </w:r>
          </w:p>
        </w:tc>
      </w:tr>
      <w:tr>
        <w:trPr>
          <w:cantSplit w:val="0"/>
          <w:tblHeader w:val="0"/>
        </w:trPr>
        <w:tc>
          <w:tcPr/>
          <w:p w:rsidR="00000000" w:rsidDel="00000000" w:rsidP="00000000" w:rsidRDefault="00000000" w:rsidRPr="00000000" w14:paraId="000000D3">
            <w:pPr>
              <w:spacing w:after="0" w:lineRule="auto"/>
              <w:ind w:left="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t xml:space="preserve">Ezen túlmenően a Társaság köteles a Befektető ésszerű kérésére biztosítani, hogy a Befektető és szakmai tanácsadói megvizsgálhassák a Társaság dokumentumait, valamint egyeztethessenek a Társaság vezetésével annak Tevékenységéről, pénzügyi helyzetéről, vállalati ügyeiről és jövőbeli terveiről, a Befektető által előre megjelölt időpontokban.</w:t>
            </w:r>
            <w:r w:rsidDel="00000000" w:rsidR="00000000" w:rsidRPr="00000000">
              <w:rPr>
                <w:rtl w:val="0"/>
              </w:rPr>
            </w:r>
          </w:p>
        </w:tc>
        <w:tc>
          <w:tcPr/>
          <w:p w:rsidR="00000000" w:rsidDel="00000000" w:rsidP="00000000" w:rsidRDefault="00000000" w:rsidRPr="00000000" w14:paraId="000000D4">
            <w:pPr>
              <w:spacing w:after="0" w:lineRule="auto"/>
              <w:ind w:left="0" w:firstLine="0"/>
              <w:rPr/>
            </w:pPr>
            <w:r w:rsidDel="00000000" w:rsidR="00000000" w:rsidRPr="00000000">
              <w:rPr>
                <w:rtl w:val="0"/>
              </w:rPr>
              <w:t xml:space="preserve">In addition, the Company shall, upon the reasonable request of the Investor, allow the Investor and its professional advisors to examine its documents and to discuss the Company’s business, finances, corporate affairs and future plans with its management, all at such reasonable times as may be requested by the Investor.</w:t>
            </w:r>
          </w:p>
        </w:tc>
      </w:tr>
      <w:tr>
        <w:trPr>
          <w:cantSplit w:val="0"/>
          <w:tblHeader w:val="0"/>
        </w:trPr>
        <w:tc>
          <w:tcPr/>
          <w:p w:rsidR="00000000" w:rsidDel="00000000" w:rsidP="00000000" w:rsidRDefault="00000000" w:rsidRPr="00000000" w14:paraId="000000D5">
            <w:pPr>
              <w:spacing w:after="0" w:lineRule="auto"/>
              <w:ind w:left="-8" w:firstLine="0"/>
              <w:rPr/>
            </w:pPr>
            <w:r w:rsidDel="00000000" w:rsidR="00000000" w:rsidRPr="00000000">
              <w:rPr>
                <w:rtl w:val="0"/>
              </w:rPr>
              <w:t xml:space="preserve">5.2. </w:t>
              <w:tab/>
              <w:t xml:space="preserve">Részvételi jogok</w:t>
            </w:r>
          </w:p>
        </w:tc>
        <w:tc>
          <w:tcPr/>
          <w:p w:rsidR="00000000" w:rsidDel="00000000" w:rsidP="00000000" w:rsidRDefault="00000000" w:rsidRPr="00000000" w14:paraId="000000D6">
            <w:pPr>
              <w:spacing w:after="0" w:lineRule="auto"/>
              <w:ind w:left="0" w:firstLine="0"/>
              <w:rPr/>
            </w:pPr>
            <w:r w:rsidDel="00000000" w:rsidR="00000000" w:rsidRPr="00000000">
              <w:rPr>
                <w:rtl w:val="0"/>
              </w:rPr>
              <w:t xml:space="preserve">5.2</w:t>
              <w:tab/>
              <w:t xml:space="preserve">Participation rights</w:t>
            </w:r>
          </w:p>
        </w:tc>
      </w:tr>
      <w:tr>
        <w:trPr>
          <w:cantSplit w:val="0"/>
          <w:tblHeader w:val="0"/>
        </w:trPr>
        <w:tc>
          <w:tcPr/>
          <w:p w:rsidR="00000000" w:rsidDel="00000000" w:rsidP="00000000" w:rsidRDefault="00000000" w:rsidRPr="00000000" w14:paraId="000000D7">
            <w:pPr>
              <w:spacing w:after="0" w:lineRule="auto"/>
              <w:ind w:left="0"/>
              <w:rPr/>
            </w:pPr>
            <w:r w:rsidDel="00000000" w:rsidR="00000000" w:rsidRPr="00000000">
              <w:rPr>
                <w:rtl w:val="0"/>
              </w:rPr>
              <w:t xml:space="preserve">Mindaddig, amíg – ideértve a Minősített Finanszírozás zárásáig is – a Társaság részesedés kibocsátását tervezi tőkebevonási céllal („Releváns Finanszírozás”), a Társaság köteles a Befektetőt értesíteni az adott tranzakcióról, annak áráról és feltételeiről. A Befektető jogosult, de nem köteles részt venni az adott finanszírozásban a többi befektetővel azonos feltételek és ár mellett, valamint jogosult annyi további részesedést megszerezni, amely révén a Releváns Finanszírozást követően a Társaságban lévő százalékos részesedése megegyezik azzal a százalékos részesedési aránnyal, amellyel a teljesen hígított alapon rendelkezne, ha a Fennálló Tartozása a Releváns Finanszírozás előtt a legalacsonyabb potenciálisan alkalmazható konvertálási áron konvertálásra került volna.</w:t>
            </w:r>
          </w:p>
        </w:tc>
        <w:tc>
          <w:tcPr/>
          <w:p w:rsidR="00000000" w:rsidDel="00000000" w:rsidP="00000000" w:rsidRDefault="00000000" w:rsidRPr="00000000" w14:paraId="000000D8">
            <w:pPr>
              <w:spacing w:after="0" w:lineRule="auto"/>
              <w:ind w:left="0" w:firstLine="0"/>
              <w:rPr/>
            </w:pPr>
            <w:r w:rsidDel="00000000" w:rsidR="00000000" w:rsidRPr="00000000">
              <w:rPr>
                <w:rtl w:val="0"/>
              </w:rPr>
              <w:t xml:space="preserve">Each time until and including the closing of the Equity Financing the Company proposes to issue Shares with the principal purpose of raising financing (the “Relevant Financing”), the Company shall provide the Investor with a notice about the transaction in question, its price and terms and the Investor shall have the right, but not the obligation, to participate in such transaction on the same terms and for the same price as all other investors, and to acquire up to such number of additional Shares that would result in such Investor’s percentage shareholding in the Company after the Relevant Financing being equal to the percentage shareholding it would have on a fully diluted basis if the Purchase Amount had converted prior to the Relevant Financing at the lowest potentially applicable conversion price. </w:t>
            </w:r>
          </w:p>
        </w:tc>
      </w:tr>
      <w:tr>
        <w:trPr>
          <w:cantSplit w:val="0"/>
          <w:tblHeader w:val="0"/>
        </w:trPr>
        <w:tc>
          <w:tcPr/>
          <w:p w:rsidR="00000000" w:rsidDel="00000000" w:rsidP="00000000" w:rsidRDefault="00000000" w:rsidRPr="00000000" w14:paraId="000000D9">
            <w:pPr>
              <w:spacing w:after="0" w:lineRule="auto"/>
              <w:ind w:left="0"/>
              <w:rPr/>
            </w:pPr>
            <w:r w:rsidDel="00000000" w:rsidR="00000000" w:rsidRPr="00000000">
              <w:rPr>
                <w:rtl w:val="0"/>
              </w:rPr>
              <w:t xml:space="preserve">Társaság köteles megtenni, és a tulajdonosaitól is megkövetelni minden olyan intézkedést, amely szükséges a jelen 5.2. pont rendelkezéseinek teljes körű végrehajtásához.</w:t>
            </w:r>
          </w:p>
        </w:tc>
        <w:tc>
          <w:tcPr/>
          <w:p w:rsidR="00000000" w:rsidDel="00000000" w:rsidP="00000000" w:rsidRDefault="00000000" w:rsidRPr="00000000" w14:paraId="000000DA">
            <w:pPr>
              <w:spacing w:after="0" w:lineRule="auto"/>
              <w:ind w:left="0" w:firstLine="0"/>
              <w:rPr/>
            </w:pPr>
            <w:r w:rsidDel="00000000" w:rsidR="00000000" w:rsidRPr="00000000">
              <w:rPr>
                <w:rtl w:val="0"/>
              </w:rPr>
              <w:t xml:space="preserve">The Company shall take, and shall procure that its shareholders take, all actions to fully implement the provisions of this Section 5.2.</w:t>
            </w:r>
          </w:p>
        </w:tc>
      </w:tr>
      <w:tr>
        <w:trPr>
          <w:cantSplit w:val="0"/>
          <w:tblHeader w:val="0"/>
        </w:trPr>
        <w:tc>
          <w:tcPr/>
          <w:p w:rsidR="00000000" w:rsidDel="00000000" w:rsidP="00000000" w:rsidRDefault="00000000" w:rsidRPr="00000000" w14:paraId="000000DB">
            <w:pPr>
              <w:spacing w:after="0" w:lineRule="auto"/>
              <w:ind w:left="0" w:firstLine="0"/>
              <w:rPr>
                <w:shd w:fill="ff9900" w:val="clear"/>
              </w:rPr>
            </w:pPr>
            <w:r w:rsidDel="00000000" w:rsidR="00000000" w:rsidRPr="00000000">
              <w:rPr>
                <w:shd w:fill="ff9900" w:val="clear"/>
                <w:rtl w:val="0"/>
              </w:rPr>
              <w:t xml:space="preserve">5.3.</w:t>
              <w:tab/>
              <w:t xml:space="preserve">Legkedvezőbb feltétel elve (MFN) – kiegészítő rendelkezések</w:t>
            </w:r>
          </w:p>
        </w:tc>
        <w:tc>
          <w:tcPr/>
          <w:p w:rsidR="00000000" w:rsidDel="00000000" w:rsidP="00000000" w:rsidRDefault="00000000" w:rsidRPr="00000000" w14:paraId="000000DC">
            <w:pPr>
              <w:spacing w:after="0" w:lineRule="auto"/>
              <w:ind w:left="0" w:firstLine="0"/>
              <w:rPr>
                <w:shd w:fill="ff9900" w:val="clear"/>
              </w:rPr>
            </w:pPr>
            <w:r w:rsidDel="00000000" w:rsidR="00000000" w:rsidRPr="00000000">
              <w:rPr>
                <w:shd w:fill="ff9900" w:val="clear"/>
                <w:rtl w:val="0"/>
              </w:rPr>
              <w:t xml:space="preserve">5.3</w:t>
              <w:tab/>
              <w:t xml:space="preserve"> MFN (Most Favoured Nation) Amendment Provision</w:t>
            </w:r>
            <w:r w:rsidDel="00000000" w:rsidR="00000000" w:rsidRPr="00000000">
              <w:rPr>
                <w:b w:val="1"/>
                <w:bCs w:val="1"/>
                <w:shd w:fill="ff9900" w:val="clear"/>
                <w:vertAlign w:val="superscript"/>
              </w:rPr>
              <w:footnoteReference w:customMarkFollows="0" w:id="24"/>
            </w:r>
            <w:r w:rsidDel="00000000" w:rsidR="00000000" w:rsidRPr="00000000">
              <w:rPr>
                <w:rtl w:val="0"/>
              </w:rPr>
            </w:r>
          </w:p>
        </w:tc>
      </w:tr>
      <w:tr>
        <w:trPr>
          <w:cantSplit w:val="0"/>
          <w:tblHeader w:val="0"/>
        </w:trPr>
        <w:tc>
          <w:tcPr/>
          <w:p w:rsidR="00000000" w:rsidDel="00000000" w:rsidP="00000000" w:rsidRDefault="00000000" w:rsidRPr="00000000" w14:paraId="000000DD">
            <w:pPr>
              <w:spacing w:after="0" w:lineRule="auto"/>
              <w:ind w:left="0" w:firstLine="0"/>
              <w:rPr>
                <w:shd w:fill="ff9900" w:val="clear"/>
              </w:rPr>
            </w:pPr>
            <w:r w:rsidDel="00000000" w:rsidR="00000000" w:rsidRPr="00000000">
              <w:rPr>
                <w:shd w:fill="ff9900" w:val="clear"/>
                <w:rtl w:val="0"/>
              </w:rPr>
              <w:t xml:space="preserve">Amennyiben a Társaság a teljes Vételár konvertálását megelőzően bármikor konvertálható kölcsönszerződést köt, vagy konvertálható kötvényeket, jegyeket vagy hasonló instrumentumokat bocsát ki (ide nem értve a Társaság munkavállalói és szolgáltatói részére adott opciókat), a Társaság köteles ezen megállapodásokról vagy eszközökről a Befektetőt legkésőbb azok zárását követő öt (5) munkanapon belül értesíteni, megjelölve az árát és minden feltételét (a továbbiakban: „</w:t>
            </w:r>
            <w:r w:rsidDel="00000000" w:rsidR="00000000" w:rsidRPr="00000000">
              <w:rPr>
                <w:b w:val="1"/>
                <w:bCs w:val="1"/>
                <w:shd w:fill="ff9900" w:val="clear"/>
                <w:rtl w:val="0"/>
              </w:rPr>
              <w:t xml:space="preserve">Utólagos Instrumentumok</w:t>
            </w:r>
            <w:r w:rsidDel="00000000" w:rsidR="00000000" w:rsidRPr="00000000">
              <w:rPr>
                <w:shd w:fill="ff9900" w:val="clear"/>
                <w:rtl w:val="0"/>
              </w:rPr>
              <w:t xml:space="preserve">”). Ha a Befektető saját belátása szerint úgy ítéli meg, hogy bármely Utólagos Instrumentum a birtokosai számára a Szerződésben foglaltaknál kedvezőbb feltételeket tartalmaz, dönthet úgy, hogy a Szerződést az érintett feltételeknek megfelelően módosítják. Ebben az esetben valamennyi Fél köteles megtenni minden szükséges intézkedést a Szerződés módosítására és a vonatkozó feltételek beillesztésére.</w:t>
            </w:r>
            <w:r w:rsidDel="00000000" w:rsidR="00000000" w:rsidRPr="00000000">
              <w:rPr>
                <w:rtl w:val="0"/>
              </w:rPr>
            </w:r>
          </w:p>
        </w:tc>
        <w:tc>
          <w:tcPr/>
          <w:p w:rsidR="00000000" w:rsidDel="00000000" w:rsidP="00000000" w:rsidRDefault="00000000" w:rsidRPr="00000000" w14:paraId="000000DE">
            <w:pPr>
              <w:spacing w:after="0" w:lineRule="auto"/>
              <w:ind w:left="0" w:firstLine="0"/>
              <w:rPr>
                <w:shd w:fill="ff9900" w:val="clear"/>
              </w:rPr>
            </w:pPr>
            <w:r w:rsidDel="00000000" w:rsidR="00000000" w:rsidRPr="00000000">
              <w:rPr>
                <w:shd w:fill="ff9900" w:val="clear"/>
                <w:rtl w:val="0"/>
              </w:rPr>
              <w:t xml:space="preserve">If the Company enters into any convertible loan agreement or issues any convertible notes, bonds or similar instruments (other than options to employees and service providers of the Company) at any time prior to the full conversion of the Purchase Amount, the Company shall provide the Investor with notice of such agreements or instruments no later than 5 Business Days after the closing of the same, including the price and all terms of such agreements or instruments (the </w:t>
            </w:r>
            <w:r w:rsidDel="00000000" w:rsidR="00000000" w:rsidRPr="00000000">
              <w:rPr>
                <w:b w:val="1"/>
                <w:bCs w:val="1"/>
                <w:shd w:fill="ff9900" w:val="clear"/>
                <w:rtl w:val="0"/>
              </w:rPr>
              <w:t xml:space="preserve">“Subsequent Instruments”</w:t>
            </w:r>
            <w:r w:rsidDel="00000000" w:rsidR="00000000" w:rsidRPr="00000000">
              <w:rPr>
                <w:shd w:fill="ff9900" w:val="clear"/>
                <w:rtl w:val="0"/>
              </w:rPr>
              <w:t xml:space="preserve">). If the Investor determines, in its sole discretion, that any Subsequent Instrument contains terms more favourable to the holder(s) thereof than the terms set forth in this Agreement, the Investor may elect to have such terms included in this Agreement in which case all Parties shall take all actions to amend this Agreement and include the respective terms.]</w:t>
            </w:r>
            <w:r w:rsidDel="00000000" w:rsidR="00000000" w:rsidRPr="00000000">
              <w:rPr>
                <w:shd w:fill="ff9900" w:val="clear"/>
                <w:vertAlign w:val="superscript"/>
              </w:rPr>
              <w:footnoteReference w:customMarkFollows="0" w:id="25"/>
            </w:r>
            <w:r w:rsidDel="00000000" w:rsidR="00000000" w:rsidRPr="00000000">
              <w:rPr>
                <w:rtl w:val="0"/>
              </w:rPr>
            </w:r>
          </w:p>
        </w:tc>
      </w:tr>
      <w:tr>
        <w:trPr>
          <w:cantSplit w:val="0"/>
          <w:tblHeader w:val="0"/>
        </w:trPr>
        <w:tc>
          <w:tcPr/>
          <w:p w:rsidR="00000000" w:rsidDel="00000000" w:rsidP="00000000" w:rsidRDefault="00000000" w:rsidRPr="00000000" w14:paraId="000000DF">
            <w:pPr>
              <w:spacing w:after="0" w:lineRule="auto"/>
              <w:ind w:left="0" w:firstLine="0"/>
              <w:rPr/>
            </w:pPr>
            <w:r w:rsidDel="00000000" w:rsidR="00000000" w:rsidRPr="00000000">
              <w:rPr>
                <w:rtl w:val="0"/>
              </w:rPr>
              <w:t xml:space="preserve">6.</w:t>
              <w:tab/>
            </w:r>
            <w:r w:rsidDel="00000000" w:rsidR="00000000" w:rsidRPr="00000000">
              <w:rPr>
                <w:b w:val="1"/>
                <w:bCs w:val="1"/>
                <w:rtl w:val="0"/>
              </w:rPr>
              <w:t xml:space="preserve">Vegyes rendelkezések</w:t>
            </w:r>
            <w:r w:rsidDel="00000000" w:rsidR="00000000" w:rsidRPr="00000000">
              <w:rPr>
                <w:rtl w:val="0"/>
              </w:rPr>
            </w:r>
          </w:p>
        </w:tc>
        <w:tc>
          <w:tcPr/>
          <w:p w:rsidR="00000000" w:rsidDel="00000000" w:rsidP="00000000" w:rsidRDefault="00000000" w:rsidRPr="00000000" w14:paraId="000000E0">
            <w:pPr>
              <w:spacing w:after="0" w:lineRule="auto"/>
              <w:ind w:left="0" w:firstLine="0"/>
              <w:rPr/>
            </w:pPr>
            <w:r w:rsidDel="00000000" w:rsidR="00000000" w:rsidRPr="00000000">
              <w:rPr>
                <w:rtl w:val="0"/>
              </w:rPr>
              <w:t xml:space="preserve">6.</w:t>
              <w:tab/>
            </w:r>
            <w:r w:rsidDel="00000000" w:rsidR="00000000" w:rsidRPr="00000000">
              <w:rPr>
                <w:b w:val="1"/>
                <w:bCs w:val="1"/>
                <w:rtl w:val="0"/>
              </w:rPr>
              <w:t xml:space="preserve">Miscellaneous</w:t>
            </w:r>
            <w:r w:rsidDel="00000000" w:rsidR="00000000" w:rsidRPr="00000000">
              <w:rPr>
                <w:rtl w:val="0"/>
              </w:rPr>
            </w:r>
          </w:p>
        </w:tc>
      </w:tr>
      <w:tr>
        <w:trPr>
          <w:cantSplit w:val="0"/>
          <w:tblHeader w:val="0"/>
        </w:trPr>
        <w:tc>
          <w:tcPr/>
          <w:p w:rsidR="00000000" w:rsidDel="00000000" w:rsidP="00000000" w:rsidRDefault="00000000" w:rsidRPr="00000000" w14:paraId="000000E1">
            <w:pPr>
              <w:spacing w:after="0" w:lineRule="auto"/>
              <w:ind w:left="0" w:firstLine="0"/>
              <w:rPr/>
            </w:pPr>
            <w:r w:rsidDel="00000000" w:rsidR="00000000" w:rsidRPr="00000000">
              <w:rPr>
                <w:rtl w:val="0"/>
              </w:rPr>
              <w:t xml:space="preserve">6.1.</w:t>
              <w:tab/>
              <w:t xml:space="preserve">Megállapodás módosítása</w:t>
            </w:r>
          </w:p>
        </w:tc>
        <w:tc>
          <w:tcPr/>
          <w:p w:rsidR="00000000" w:rsidDel="00000000" w:rsidP="00000000" w:rsidRDefault="00000000" w:rsidRPr="00000000" w14:paraId="000000E2">
            <w:pPr>
              <w:spacing w:after="0" w:lineRule="auto"/>
              <w:ind w:left="0" w:firstLine="0"/>
              <w:rPr/>
            </w:pPr>
            <w:r w:rsidDel="00000000" w:rsidR="00000000" w:rsidRPr="00000000">
              <w:rPr>
                <w:rtl w:val="0"/>
              </w:rPr>
              <w:t xml:space="preserve">6.1</w:t>
              <w:tab/>
              <w:t xml:space="preserve">Amendment to Agreement</w:t>
            </w:r>
          </w:p>
        </w:tc>
      </w:tr>
      <w:tr>
        <w:trPr>
          <w:cantSplit w:val="0"/>
          <w:tblHeader w:val="0"/>
        </w:trPr>
        <w:tc>
          <w:tcPr/>
          <w:p w:rsidR="00000000" w:rsidDel="00000000" w:rsidP="00000000" w:rsidRDefault="00000000" w:rsidRPr="00000000" w14:paraId="000000E3">
            <w:pPr>
              <w:spacing w:after="0" w:lineRule="auto"/>
              <w:ind w:left="0" w:firstLine="0"/>
              <w:rPr/>
            </w:pPr>
            <w:r w:rsidDel="00000000" w:rsidR="00000000" w:rsidRPr="00000000">
              <w:rPr>
                <w:rtl w:val="0"/>
              </w:rPr>
              <w:t xml:space="preserve">A jelen SAFE bármely rendelkezése módosítható, kiegészíthető vagy mellőzhető a Társaság és (i) a Befektető, vagy (ii) az összes fennálló, a jelen SAFE-fel azonos „Post-money értékelési plafon” vagy „Diszkont” megállapodással rendelkező SAFE-ek befektetői többségének előzetes írásbeli hozzájárulásával (az ilyen feltételek egyikét vagy mindegyikét nélkülöző SAFE-ek jelen fejezet tekintetében azonosnak minősülnek), feltéve, hogy a (ii) pont esetében: (A) a Befektetés Összege ilyen módon nem módosítható, nem mellőzhető és nem egészíthető ki, (B) a Befektető és minden SAFE tulajdonos hozzájárulását be kell szerezni, és (C) az ilyen módosítás, elengedés vagy kiegészítés az összes érintett tulajdonost egyenlően érinti. A „Befektetői Többség”” kifejezés az adott SAFE kör azon tulajdonosaira vonatkozik, akiknek SAFEi együttes értéke meghaladja az adott csoport teljes SAFE ár összegének 50%-át</w:t>
            </w:r>
          </w:p>
          <w:p w:rsidR="00000000" w:rsidDel="00000000" w:rsidP="00000000" w:rsidRDefault="00000000" w:rsidRPr="00000000" w14:paraId="000000E4">
            <w:pPr>
              <w:spacing w:after="0" w:lineRule="auto"/>
              <w:ind w:left="0" w:firstLine="0"/>
              <w:rPr/>
            </w:pPr>
            <w:r w:rsidDel="00000000" w:rsidR="00000000" w:rsidRPr="00000000">
              <w:rPr>
                <w:rtl w:val="0"/>
              </w:rPr>
            </w:r>
          </w:p>
        </w:tc>
        <w:tc>
          <w:tcPr/>
          <w:p w:rsidR="00000000" w:rsidDel="00000000" w:rsidP="00000000" w:rsidRDefault="00000000" w:rsidRPr="00000000" w14:paraId="000000E5">
            <w:pPr>
              <w:spacing w:after="0" w:lineRule="auto"/>
              <w:ind w:left="0" w:firstLine="0"/>
              <w:rPr/>
            </w:pPr>
            <w:r w:rsidDel="00000000" w:rsidR="00000000" w:rsidRPr="00000000">
              <w:rPr>
                <w:rtl w:val="0"/>
              </w:rPr>
              <w:t xml:space="preserve">Any provision of this Safe may be amended, waived or modified by written consent of the Company and either (i) the Investor or (ii) the majority-in-interest of all then-outstanding Safes with the same “Post-Money Valuation Cap” and “Discount Rate” as this Safe (and Safes lacking one or both of such terms will be considered to be the same with respect to such term(s)), provided that with respect to clause (ii): (A) the Purchase Amount may not be amended, waived or modified in this manner, (B) the consent of the Investor and each holder of such Safes must be solicited (even if not obtained), and (C) such amendment, waiver or modification treats all such holders in the same manner. “Majority-in-interest” refers to the holders of the applicable group of Safes whose Safes have a total Purchase Amount greater than 50% of the total Purchase Amount of all of such applicable group of Safes.  </w:t>
            </w:r>
          </w:p>
        </w:tc>
      </w:tr>
      <w:tr>
        <w:trPr>
          <w:cantSplit w:val="0"/>
          <w:tblHeader w:val="0"/>
        </w:trPr>
        <w:tc>
          <w:tcPr/>
          <w:p w:rsidR="00000000" w:rsidDel="00000000" w:rsidP="00000000" w:rsidRDefault="00000000" w:rsidRPr="00000000" w14:paraId="000000E6">
            <w:pPr>
              <w:spacing w:after="0" w:lineRule="auto"/>
              <w:ind w:left="0" w:firstLine="0"/>
              <w:rPr/>
            </w:pPr>
            <w:r w:rsidDel="00000000" w:rsidR="00000000" w:rsidRPr="00000000">
              <w:rPr>
                <w:rtl w:val="0"/>
              </w:rPr>
              <w:t xml:space="preserve">6.2.</w:t>
              <w:tab/>
              <w:t xml:space="preserve">Felek által elismert közlési módok</w:t>
            </w:r>
          </w:p>
        </w:tc>
        <w:tc>
          <w:tcPr/>
          <w:p w:rsidR="00000000" w:rsidDel="00000000" w:rsidP="00000000" w:rsidRDefault="00000000" w:rsidRPr="00000000" w14:paraId="000000E7">
            <w:pPr>
              <w:spacing w:after="0" w:lineRule="auto"/>
              <w:ind w:left="0" w:firstLine="0"/>
              <w:rPr/>
            </w:pPr>
            <w:r w:rsidDel="00000000" w:rsidR="00000000" w:rsidRPr="00000000">
              <w:rPr>
                <w:rtl w:val="0"/>
              </w:rPr>
              <w:t xml:space="preserve">6.2</w:t>
              <w:tab/>
              <w:t xml:space="preserve">Agreed methods of communication between the Parties</w:t>
            </w:r>
          </w:p>
        </w:tc>
      </w:tr>
      <w:tr>
        <w:trPr>
          <w:cantSplit w:val="0"/>
          <w:tblHeader w:val="0"/>
        </w:trPr>
        <w:tc>
          <w:tcPr/>
          <w:p w:rsidR="00000000" w:rsidDel="00000000" w:rsidP="00000000" w:rsidRDefault="00000000" w:rsidRPr="00000000" w14:paraId="000000E8">
            <w:pPr>
              <w:spacing w:after="0" w:lineRule="auto"/>
              <w:ind w:left="0" w:firstLine="0"/>
              <w:rPr/>
            </w:pPr>
            <w:r w:rsidDel="00000000" w:rsidR="00000000" w:rsidRPr="00000000">
              <w:rPr>
                <w:rtl w:val="0"/>
              </w:rPr>
              <w:t xml:space="preserve">A jelen SAFE alapján előírt vagy megengedett bármely értesítés megfelelőnek minősül, ha azt személyesen kézbesítik, futárszolgálattal eljuttatják, e-mailben az aláírási oldalon feltüntetett címre elküldik, vagy ajánlott, tértivevényes postai küldeményként (előre megfizetett postaköltséggel) adják fel; ebben az esetben a kézbesítési vélelem 48 órával a postára adást követően áll be.</w:t>
            </w:r>
          </w:p>
        </w:tc>
        <w:tc>
          <w:tcPr/>
          <w:p w:rsidR="00000000" w:rsidDel="00000000" w:rsidP="00000000" w:rsidRDefault="00000000" w:rsidRPr="00000000" w14:paraId="000000E9">
            <w:pPr>
              <w:spacing w:after="0" w:lineRule="auto"/>
              <w:ind w:left="0" w:firstLine="0"/>
              <w:rPr/>
            </w:pPr>
            <w:r w:rsidDel="00000000" w:rsidR="00000000" w:rsidRPr="00000000">
              <w:rPr>
                <w:rtl w:val="0"/>
              </w:rPr>
              <w:t xml:space="preserve">Any notice required or permitted by this Safe will be deemed sufficient when delivered personally or by overnight courier or sent by email to the relevant address listed on the signature page, or 48 hours after being deposited in the mail as certified or registered mail with postage prepaid, addressed to the party to be notified at such party’s address listed on the signature page, as subsequently modified by written notice.</w:t>
            </w:r>
          </w:p>
        </w:tc>
      </w:tr>
      <w:tr>
        <w:trPr>
          <w:cantSplit w:val="0"/>
          <w:tblHeader w:val="0"/>
        </w:trPr>
        <w:tc>
          <w:tcPr/>
          <w:p w:rsidR="00000000" w:rsidDel="00000000" w:rsidP="00000000" w:rsidRDefault="00000000" w:rsidRPr="00000000" w14:paraId="000000EA">
            <w:pPr>
              <w:spacing w:after="0" w:lineRule="auto"/>
              <w:ind w:left="0" w:firstLine="0"/>
              <w:rPr/>
            </w:pPr>
            <w:r w:rsidDel="00000000" w:rsidR="00000000" w:rsidRPr="00000000">
              <w:rPr>
                <w:rtl w:val="0"/>
              </w:rPr>
              <w:t xml:space="preserve">6.3.</w:t>
              <w:tab/>
              <w:t xml:space="preserve">Szavazati jogok</w:t>
            </w:r>
          </w:p>
        </w:tc>
        <w:tc>
          <w:tcPr/>
          <w:p w:rsidR="00000000" w:rsidDel="00000000" w:rsidP="00000000" w:rsidRDefault="00000000" w:rsidRPr="00000000" w14:paraId="000000EB">
            <w:pPr>
              <w:spacing w:after="0" w:lineRule="auto"/>
              <w:ind w:left="0" w:firstLine="0"/>
              <w:rPr/>
            </w:pPr>
            <w:r w:rsidDel="00000000" w:rsidR="00000000" w:rsidRPr="00000000">
              <w:rPr>
                <w:rtl w:val="0"/>
              </w:rPr>
              <w:t xml:space="preserve">6.3</w:t>
              <w:tab/>
              <w:t xml:space="preserve">Voting rights</w:t>
            </w:r>
          </w:p>
        </w:tc>
      </w:tr>
      <w:tr>
        <w:trPr>
          <w:cantSplit w:val="0"/>
          <w:tblHeader w:val="0"/>
        </w:trPr>
        <w:tc>
          <w:tcPr/>
          <w:p w:rsidR="00000000" w:rsidDel="00000000" w:rsidP="00000000" w:rsidRDefault="00000000" w:rsidRPr="00000000" w14:paraId="000000EC">
            <w:pPr>
              <w:spacing w:after="0" w:lineRule="auto"/>
              <w:ind w:left="0" w:firstLine="0"/>
              <w:rPr/>
            </w:pPr>
            <w:r w:rsidDel="00000000" w:rsidR="00000000" w:rsidRPr="00000000">
              <w:rPr>
                <w:rtl w:val="0"/>
              </w:rPr>
              <w:t xml:space="preserve">A Befektető, mint a jelen SAFE birtokosa, nem rendelkezik szavazati joggal, és adózási célokon kívül nem minősül </w:t>
            </w:r>
            <w:r w:rsidDel="00000000" w:rsidR="00000000" w:rsidRPr="00000000">
              <w:rPr>
                <w:highlight w:val="yellow"/>
                <w:rtl w:val="0"/>
              </w:rPr>
              <w:t xml:space="preserve">tőkebefektetőnek</w:t>
            </w:r>
            <w:r w:rsidDel="00000000" w:rsidR="00000000" w:rsidRPr="00000000">
              <w:rPr>
                <w:rtl w:val="0"/>
              </w:rPr>
              <w:t xml:space="preserve">. A jelen SAFE egyetlen rendelkezése sem értelmezhető úgy, hogy az a Befektetőnek – ilyen minőségében – a Társaság tagjára vonatkozó jogokat biztosítana, ideértve különösen az döntéshozó szerv tagjainak megválasztására vonatkozó szavazati jogot, bármely társasági ügyben való szavazás jogát, a társasági intézkedésekhez való hozzájárulás megadásának vagy megtagadásának jogát, valamint a közgyűlésekre vonatkozó értesítéshez való jogot, mindaddig, amíg az 1. szakaszban meghatározott feltételek szerint a befektetés nem konvertál részesedésre. Amennyiben a Társaság a jelen SAFE fennállása alatt a forgalomban lévő részesedések után osztalékot fizet, a Társaság köteles az osztalék összegét a Befektető részére az osztalékfizetéssel egyidejűleg kifizetni.</w:t>
            </w:r>
          </w:p>
        </w:tc>
        <w:tc>
          <w:tcPr/>
          <w:p w:rsidR="00000000" w:rsidDel="00000000" w:rsidP="00000000" w:rsidRDefault="00000000" w:rsidRPr="00000000" w14:paraId="000000ED">
            <w:pPr>
              <w:spacing w:after="0" w:lineRule="auto"/>
              <w:ind w:left="0" w:firstLine="0"/>
              <w:rPr/>
            </w:pPr>
            <w:r w:rsidDel="00000000" w:rsidR="00000000" w:rsidRPr="00000000">
              <w:rPr>
                <w:rtl w:val="0"/>
              </w:rPr>
              <w:t xml:space="preserve">The Investor is not entitled, as a holder of this Safe, to vote or be deemed a holder of Capital Stock for any purpose other than tax purposes, nor will anything in this Safe be construed to confer on the Investor, as such, any rights of a Company stockholder or rights to vote for the election of members of governing bodies or on any matter submitted to Company stockholders, or to give or withhold consent to any corporate action or to receive notice of meetings, until shares have been issued on the terms described in Section 1.  However, if the Company pays a dividend on outstanding shares of Common Stock (that is not payable in shares of Common Stock) while this Safe is outstanding, the Company will pay the Dividend Amount to the Investor at the same time.</w:t>
            </w:r>
          </w:p>
        </w:tc>
      </w:tr>
      <w:tr>
        <w:trPr>
          <w:cantSplit w:val="0"/>
          <w:tblHeader w:val="0"/>
        </w:trPr>
        <w:tc>
          <w:tcPr/>
          <w:p w:rsidR="00000000" w:rsidDel="00000000" w:rsidP="00000000" w:rsidRDefault="00000000" w:rsidRPr="00000000" w14:paraId="000000EE">
            <w:pPr>
              <w:spacing w:after="0" w:lineRule="auto"/>
              <w:ind w:left="0" w:firstLine="0"/>
              <w:rPr/>
            </w:pPr>
            <w:r w:rsidDel="00000000" w:rsidR="00000000" w:rsidRPr="00000000">
              <w:rPr>
                <w:rtl w:val="0"/>
              </w:rPr>
              <w:t xml:space="preserve">6.4.</w:t>
              <w:tab/>
              <w:t xml:space="preserve">Jogutódlás</w:t>
            </w:r>
          </w:p>
        </w:tc>
        <w:tc>
          <w:tcPr/>
          <w:p w:rsidR="00000000" w:rsidDel="00000000" w:rsidP="00000000" w:rsidRDefault="00000000" w:rsidRPr="00000000" w14:paraId="000000EF">
            <w:pPr>
              <w:spacing w:after="0" w:lineRule="auto"/>
              <w:ind w:left="0" w:firstLine="0"/>
              <w:rPr/>
            </w:pPr>
            <w:r w:rsidDel="00000000" w:rsidR="00000000" w:rsidRPr="00000000">
              <w:rPr>
                <w:rtl w:val="0"/>
              </w:rPr>
              <w:t xml:space="preserve">6.4</w:t>
              <w:tab/>
              <w:t xml:space="preserve">Succession</w:t>
            </w:r>
          </w:p>
        </w:tc>
      </w:tr>
      <w:tr>
        <w:trPr>
          <w:cantSplit w:val="0"/>
          <w:tblHeader w:val="0"/>
        </w:trPr>
        <w:tc>
          <w:tcPr/>
          <w:p w:rsidR="00000000" w:rsidDel="00000000" w:rsidP="00000000" w:rsidRDefault="00000000" w:rsidRPr="00000000" w14:paraId="000000F0">
            <w:pPr>
              <w:spacing w:after="0" w:lineRule="auto"/>
              <w:ind w:left="0" w:firstLine="0"/>
              <w:rPr/>
            </w:pPr>
            <w:r w:rsidDel="00000000" w:rsidR="00000000" w:rsidRPr="00000000">
              <w:rPr>
                <w:rtl w:val="0"/>
              </w:rPr>
              <w:t xml:space="preserve">A jelen SAFE és az abból eredő jogok sem jogszabály, sem más ok alapján nem ruházhatók át vagy engedhetők át egyik Fél által, sem a másik Fél előzetes írásbeli hozzájárulása nélkül. Ettől eltérően a Befektető jogosult a jelen SAFE-et és/vagy az abból eredő jogokat a Társaság előzetes hozzájárulása nélkül átruházni: (i) </w:t>
            </w:r>
            <w:r w:rsidDel="00000000" w:rsidR="00000000" w:rsidRPr="00000000">
              <w:rPr>
                <w:highlight w:val="yellow"/>
                <w:rtl w:val="0"/>
              </w:rPr>
              <w:t xml:space="preserve">a Befektető halála vagy cselekvőképtelensége esetén annak örököseire vagy jogutódaira a magyar öröklési jog szabályai szerint</w:t>
            </w:r>
            <w:r w:rsidDel="00000000" w:rsidR="00000000" w:rsidRPr="00000000">
              <w:rPr>
                <w:rtl w:val="0"/>
              </w:rPr>
              <w:t xml:space="preserve">; (ii) bármely olyan jogi személyre, amely a Befektetővel közvetlen vagy közvetett tulajdonosi vagy irányítási kapcsolatban áll, ideértve különösen a Befektető által irányított, a Befektetőt irányító vagy vele azonos irányítás alatt álló gazdasági társaságokat, valamint a Befektető által kezelt, illetve azonos kezelő társaság által kezelt kockázati tőkealapokat. A Társaság jogosult a jelen SAFE-et egészként átruházni a Befektető hozzájárulása nélkül, amennyiben az átruházás célja a Társaság székhelyének megváltoztatása, ideértve azt a tranzakciót is, amely során egy másik társaság részesedést szerez a Társaságban, és ezért cserébe a Társaság tagjai a meglévő részesedésükkel arányosan részesedést szereznek a másik társaságban.</w:t>
            </w:r>
          </w:p>
          <w:p w:rsidR="00000000" w:rsidDel="00000000" w:rsidP="00000000" w:rsidRDefault="00000000" w:rsidRPr="00000000" w14:paraId="000000F1">
            <w:pPr>
              <w:spacing w:after="0" w:lineRule="auto"/>
              <w:ind w:left="0" w:firstLine="0"/>
              <w:rPr/>
            </w:pPr>
            <w:r w:rsidDel="00000000" w:rsidR="00000000" w:rsidRPr="00000000">
              <w:rPr>
                <w:rtl w:val="0"/>
              </w:rPr>
            </w:r>
          </w:p>
          <w:p w:rsidR="00000000" w:rsidDel="00000000" w:rsidP="00000000" w:rsidRDefault="00000000" w:rsidRPr="00000000" w14:paraId="000000F2">
            <w:pPr>
              <w:spacing w:after="0" w:lineRule="auto"/>
              <w:ind w:left="0" w:firstLine="0"/>
              <w:rPr/>
            </w:pPr>
            <w:r w:rsidDel="00000000" w:rsidR="00000000" w:rsidRPr="00000000">
              <w:rPr>
                <w:rtl w:val="0"/>
              </w:rPr>
            </w:r>
          </w:p>
          <w:p w:rsidR="00000000" w:rsidDel="00000000" w:rsidP="00000000" w:rsidRDefault="00000000" w:rsidRPr="00000000" w14:paraId="000000F3">
            <w:pPr>
              <w:spacing w:after="0" w:lineRule="auto"/>
              <w:ind w:left="0" w:firstLine="0"/>
              <w:rPr>
                <w:i w:val="1"/>
                <w:iCs w:val="1"/>
              </w:rPr>
            </w:pPr>
            <w:r w:rsidDel="00000000" w:rsidR="00000000" w:rsidRPr="00000000">
              <w:rPr>
                <w:i w:val="1"/>
                <w:iCs w:val="1"/>
                <w:highlight w:val="yellow"/>
                <w:rtl w:val="0"/>
              </w:rPr>
              <w:t xml:space="preserve">A Befektető tudomásul veszi, hogy a Ptk. 3:172. § és a 3:170. § (2) bekezdésének megfelelően a Társaság a társasági szerződésben kikötötte annak jogát, hogy amennyiben a társasági részesedései, illetve a jelen Szerződés szerinti jegyzési jogok jogosultjának személyében vagyonközösség megszűnésé, illetve hagyatéki eljárás következtében változás áll be a Tagokat megilleti a részesedés magukhoz váltásának joga.</w:t>
            </w:r>
            <w:r w:rsidDel="00000000" w:rsidR="00000000" w:rsidRPr="00000000">
              <w:rPr>
                <w:rtl w:val="0"/>
              </w:rPr>
            </w:r>
          </w:p>
        </w:tc>
        <w:tc>
          <w:tcPr/>
          <w:p w:rsidR="00000000" w:rsidDel="00000000" w:rsidP="00000000" w:rsidRDefault="00000000" w:rsidRPr="00000000" w14:paraId="000000F4">
            <w:pPr>
              <w:spacing w:after="0" w:lineRule="auto"/>
              <w:ind w:left="0" w:firstLine="0"/>
              <w:rPr/>
            </w:pPr>
            <w:r w:rsidDel="00000000" w:rsidR="00000000" w:rsidRPr="00000000">
              <w:rPr>
                <w:rtl w:val="0"/>
              </w:rPr>
              <w:t xml:space="preserve">Neither this Safe nor the rights in this Safe are transferable or assignable, by </w:t>
            </w:r>
            <w:r w:rsidDel="00000000" w:rsidR="00000000" w:rsidRPr="00000000">
              <w:rPr>
                <w:highlight w:val="yellow"/>
                <w:rtl w:val="0"/>
              </w:rPr>
              <w:t xml:space="preserve">operation of law</w:t>
            </w:r>
            <w:r w:rsidDel="00000000" w:rsidR="00000000" w:rsidRPr="00000000">
              <w:rPr>
                <w:rtl w:val="0"/>
              </w:rPr>
              <w:t xml:space="preserve"> or otherwise, by either party without the prior written consent of the other; provided, however, that this Safe and/or its rights may be assigned without the Company’s consent by the Investor (i) to the Investor’s estate, heirs, executors, administrators, guardians and/or successors in the event of Investor’s death or disability, or (ii) to any other entity who directly or indirectly, controls, is controlled by or is under common control with the Investor, including, without limitation, any general partner, managing member, officer or director of the Investor, or any venture capital fund now or hereafter existing which is controlled by one or more general partners or managing members of, or shares the same management company with, the Investor; and provided, further, that the Company may assign this Safe in whole, without the consent of the Investor, in connection with a reincorporation to change the Company’s domicile, including a transaction whereby another company acquires shares in the Company in consideration for the issuance of shares in that company to the holders of shares of the Company substantially in proportion to their existing holdings in the Company.  </w:t>
            </w:r>
          </w:p>
          <w:p w:rsidR="00000000" w:rsidDel="00000000" w:rsidP="00000000" w:rsidRDefault="00000000" w:rsidRPr="00000000" w14:paraId="000000F5">
            <w:pPr>
              <w:spacing w:after="0" w:lineRule="auto"/>
              <w:ind w:left="0" w:firstLine="0"/>
              <w:rPr/>
            </w:pPr>
            <w:r w:rsidDel="00000000" w:rsidR="00000000" w:rsidRPr="00000000">
              <w:rPr>
                <w:rtl w:val="0"/>
              </w:rPr>
            </w:r>
          </w:p>
          <w:p w:rsidR="00000000" w:rsidDel="00000000" w:rsidP="00000000" w:rsidRDefault="00000000" w:rsidRPr="00000000" w14:paraId="000000F6">
            <w:pPr>
              <w:spacing w:after="0" w:lineRule="auto"/>
              <w:ind w:left="0" w:firstLine="0"/>
              <w:rPr/>
            </w:pPr>
            <w:r w:rsidDel="00000000" w:rsidR="00000000" w:rsidRPr="00000000">
              <w:rPr>
                <w:i w:val="1"/>
                <w:iCs w:val="1"/>
                <w:highlight w:val="yellow"/>
                <w:rtl w:val="0"/>
              </w:rPr>
              <w:t xml:space="preserve">The Investor acknowledges that, pursuant to Sections 3:172 and 3:170 (2) of the Hungarian Civil Code, the Company has stipulated in its Articles of Association the right for the Shareholders make a statement on their intent to acquire the shares themselves if the holder of the Shares or the subscription rights under this Agreement changes due to the termination matrimonial property or a probate proceeding</w:t>
            </w:r>
            <w:r w:rsidDel="00000000" w:rsidR="00000000" w:rsidRPr="00000000">
              <w:rPr>
                <w:highlight w:val="yellow"/>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F7">
            <w:pPr>
              <w:spacing w:after="0" w:lineRule="auto"/>
              <w:ind w:left="0" w:firstLine="0"/>
              <w:rPr/>
            </w:pPr>
            <w:r w:rsidDel="00000000" w:rsidR="00000000" w:rsidRPr="00000000">
              <w:rPr>
                <w:rtl w:val="0"/>
              </w:rPr>
              <w:t xml:space="preserve">6.5.</w:t>
              <w:tab/>
              <w:t xml:space="preserve">Érvénytelen rendelkezések</w:t>
            </w:r>
          </w:p>
        </w:tc>
        <w:tc>
          <w:tcPr/>
          <w:p w:rsidR="00000000" w:rsidDel="00000000" w:rsidP="00000000" w:rsidRDefault="00000000" w:rsidRPr="00000000" w14:paraId="000000F8">
            <w:pPr>
              <w:spacing w:after="0" w:lineRule="auto"/>
              <w:ind w:left="0" w:firstLine="0"/>
              <w:rPr/>
            </w:pPr>
            <w:r w:rsidDel="00000000" w:rsidR="00000000" w:rsidRPr="00000000">
              <w:rPr>
                <w:rtl w:val="0"/>
              </w:rPr>
              <w:t xml:space="preserve">6.5</w:t>
              <w:tab/>
              <w:t xml:space="preserve">Invalidity</w:t>
            </w:r>
          </w:p>
        </w:tc>
      </w:tr>
      <w:tr>
        <w:trPr>
          <w:cantSplit w:val="0"/>
          <w:tblHeader w:val="0"/>
        </w:trPr>
        <w:tc>
          <w:tcPr/>
          <w:p w:rsidR="00000000" w:rsidDel="00000000" w:rsidP="00000000" w:rsidRDefault="00000000" w:rsidRPr="00000000" w14:paraId="000000F9">
            <w:pPr>
              <w:spacing w:after="0" w:lineRule="auto"/>
              <w:ind w:left="0" w:firstLine="0"/>
              <w:rPr/>
            </w:pPr>
            <w:r w:rsidDel="00000000" w:rsidR="00000000" w:rsidRPr="00000000">
              <w:rPr>
                <w:rtl w:val="0"/>
              </w:rPr>
              <w:t xml:space="preserve">Amennyiben a jelen SAFE bármely rendelkezése bármely okból – részben vagy egészében – érvénytelennek, jogellenesnek vagy végrehajthatatlannak minősül, illetve alkalmazása a jelen SAFE egészét érvénytelenné tenné, kizárólag az érintett rendelkezést kell semmisnek tekinteni. Az érintett rendelkezés semmissége az egyéb rendelkezések érvényességét, hatályát és végrehajthatóságát nem érinti.</w:t>
            </w:r>
          </w:p>
        </w:tc>
        <w:tc>
          <w:tcPr/>
          <w:p w:rsidR="00000000" w:rsidDel="00000000" w:rsidP="00000000" w:rsidRDefault="00000000" w:rsidRPr="00000000" w14:paraId="000000FA">
            <w:pPr>
              <w:spacing w:after="0" w:lineRule="auto"/>
              <w:ind w:left="0" w:firstLine="0"/>
              <w:rPr/>
            </w:pPr>
            <w:r w:rsidDel="00000000" w:rsidR="00000000" w:rsidRPr="00000000">
              <w:rPr>
                <w:rtl w:val="0"/>
              </w:rPr>
              <w:t xml:space="preserve">In the event any one or more of the provisions of this Safe is for any reason held to be invalid, illegal or unenforceable, in whole or in part or in any respect, or in the event that any one or more of the provisions of this Safe operate or would prospectively operate to invalidate this Safe, then and in any such event, such provision(s) only will be deemed null and void and will not affect any other provision of this Safe and the remaining provisions of this Safe will remain operative and in full force and effect and will not be affected, prejudiced, or disturbed thereby.</w:t>
            </w:r>
          </w:p>
        </w:tc>
      </w:tr>
      <w:tr>
        <w:trPr>
          <w:cantSplit w:val="0"/>
          <w:tblHeader w:val="0"/>
        </w:trPr>
        <w:tc>
          <w:tcPr/>
          <w:p w:rsidR="00000000" w:rsidDel="00000000" w:rsidP="00000000" w:rsidRDefault="00000000" w:rsidRPr="00000000" w14:paraId="000000FB">
            <w:pPr>
              <w:spacing w:after="0" w:lineRule="auto"/>
              <w:ind w:left="0" w:firstLine="0"/>
              <w:rPr/>
            </w:pPr>
            <w:r w:rsidDel="00000000" w:rsidR="00000000" w:rsidRPr="00000000">
              <w:rPr>
                <w:rtl w:val="0"/>
              </w:rPr>
              <w:t xml:space="preserve">6.6       Teljességi záradék</w:t>
            </w:r>
          </w:p>
        </w:tc>
        <w:tc>
          <w:tcPr/>
          <w:p w:rsidR="00000000" w:rsidDel="00000000" w:rsidP="00000000" w:rsidRDefault="00000000" w:rsidRPr="00000000" w14:paraId="000000FC">
            <w:pPr>
              <w:spacing w:after="0" w:lineRule="auto"/>
              <w:ind w:left="0" w:firstLine="0"/>
              <w:rPr/>
            </w:pPr>
            <w:r w:rsidDel="00000000" w:rsidR="00000000" w:rsidRPr="00000000">
              <w:rPr>
                <w:rtl w:val="0"/>
              </w:rPr>
              <w:t xml:space="preserve">6.6     Merger clause</w:t>
            </w:r>
          </w:p>
        </w:tc>
      </w:tr>
      <w:tr>
        <w:trPr>
          <w:cantSplit w:val="0"/>
          <w:tblHeader w:val="0"/>
        </w:trPr>
        <w:tc>
          <w:tcPr/>
          <w:p w:rsidR="00000000" w:rsidDel="00000000" w:rsidP="00000000" w:rsidRDefault="00000000" w:rsidRPr="00000000" w14:paraId="000000FD">
            <w:pPr>
              <w:spacing w:after="0" w:lineRule="auto"/>
              <w:ind w:left="0"/>
              <w:rPr/>
            </w:pPr>
            <w:r w:rsidDel="00000000" w:rsidR="00000000" w:rsidRPr="00000000">
              <w:rPr>
                <w:rtl w:val="0"/>
              </w:rPr>
              <w:t xml:space="preserve">A Szerződés a Felek között létrejött teljes megállapodást magába foglalja, és hatályon kívül helyez minden a Felek között a Szerződés tágyára vonatkozó korábbi szándéknyilatkozatot, megállapodást és egyéb kommunikációt.</w:t>
            </w:r>
          </w:p>
        </w:tc>
        <w:tc>
          <w:tcPr/>
          <w:p w:rsidR="00000000" w:rsidDel="00000000" w:rsidP="00000000" w:rsidRDefault="00000000" w:rsidRPr="00000000" w14:paraId="000000FE">
            <w:pPr>
              <w:spacing w:after="0" w:lineRule="auto"/>
              <w:ind w:left="0"/>
              <w:rPr/>
            </w:pPr>
            <w:r w:rsidDel="00000000" w:rsidR="00000000" w:rsidRPr="00000000">
              <w:rPr>
                <w:rtl w:val="0"/>
              </w:rPr>
              <w:t xml:space="preserve">This Agreement constitutes the entire agreement of the Parties with respect to the subject matter hereof and supersedes all other prior declarations of intent, agreements and other communication between the Parties with respect to the subject matter hereof.</w:t>
            </w:r>
          </w:p>
        </w:tc>
      </w:tr>
      <w:tr>
        <w:trPr>
          <w:cantSplit w:val="0"/>
          <w:tblHeader w:val="0"/>
        </w:trPr>
        <w:tc>
          <w:tcPr/>
          <w:p w:rsidR="00000000" w:rsidDel="00000000" w:rsidP="00000000" w:rsidRDefault="00000000" w:rsidRPr="00000000" w14:paraId="000000FF">
            <w:pPr>
              <w:spacing w:after="0" w:lineRule="auto"/>
              <w:ind w:left="0" w:firstLine="0"/>
              <w:rPr/>
            </w:pPr>
            <w:r w:rsidDel="00000000" w:rsidR="00000000" w:rsidRPr="00000000">
              <w:rPr>
                <w:rtl w:val="0"/>
              </w:rPr>
              <w:t xml:space="preserve">6.7</w:t>
              <w:tab/>
              <w:t xml:space="preserve">Joghatóság</w:t>
            </w:r>
          </w:p>
        </w:tc>
        <w:tc>
          <w:tcPr/>
          <w:p w:rsidR="00000000" w:rsidDel="00000000" w:rsidP="00000000" w:rsidRDefault="00000000" w:rsidRPr="00000000" w14:paraId="00000100">
            <w:pPr>
              <w:spacing w:after="0" w:lineRule="auto"/>
              <w:ind w:left="0" w:firstLine="0"/>
              <w:rPr/>
            </w:pPr>
            <w:r w:rsidDel="00000000" w:rsidR="00000000" w:rsidRPr="00000000">
              <w:rPr>
                <w:rtl w:val="0"/>
              </w:rPr>
              <w:t xml:space="preserve">6.7</w:t>
              <w:tab/>
              <w:t xml:space="preserve">Jurisdiction</w:t>
            </w:r>
          </w:p>
        </w:tc>
      </w:tr>
      <w:tr>
        <w:trPr>
          <w:cantSplit w:val="0"/>
          <w:tblHeader w:val="0"/>
        </w:trPr>
        <w:tc>
          <w:tcPr/>
          <w:p w:rsidR="00000000" w:rsidDel="00000000" w:rsidP="00000000" w:rsidRDefault="00000000" w:rsidRPr="00000000" w14:paraId="00000101">
            <w:pPr>
              <w:spacing w:after="0" w:lineRule="auto"/>
              <w:ind w:left="0" w:firstLine="0"/>
              <w:rPr/>
            </w:pPr>
            <w:r w:rsidDel="00000000" w:rsidR="00000000" w:rsidRPr="00000000">
              <w:rPr>
                <w:rtl w:val="0"/>
              </w:rPr>
              <w:t xml:space="preserve">A jelen Szerződésből eredő valamennyi jogra és kötelezettségre a magyar jog az irányadó, ide nem értve a kollíziós jogi rendelkezéseket. A jelen SAFE-ből eredő jogviták rendezésére a magyar bíróságok rendelkeznek kizárólagos illetékességgel.</w:t>
            </w:r>
          </w:p>
          <w:p w:rsidR="00000000" w:rsidDel="00000000" w:rsidP="00000000" w:rsidRDefault="00000000" w:rsidRPr="00000000" w14:paraId="00000102">
            <w:pPr>
              <w:spacing w:after="0" w:lineRule="auto"/>
              <w:ind w:left="0" w:firstLine="0"/>
              <w:rPr/>
            </w:pPr>
            <w:r w:rsidDel="00000000" w:rsidR="00000000" w:rsidRPr="00000000">
              <w:rPr>
                <w:rtl w:val="0"/>
              </w:rPr>
            </w:r>
          </w:p>
          <w:p w:rsidR="00000000" w:rsidDel="00000000" w:rsidP="00000000" w:rsidRDefault="00000000" w:rsidRPr="00000000" w14:paraId="00000103">
            <w:pPr>
              <w:spacing w:after="0" w:lineRule="auto"/>
              <w:ind w:left="0" w:firstLine="0"/>
              <w:rPr/>
            </w:pPr>
            <w:r w:rsidDel="00000000" w:rsidR="00000000" w:rsidRPr="00000000">
              <w:rPr>
                <w:rtl w:val="0"/>
              </w:rPr>
              <w:t xml:space="preserve">[</w:t>
            </w:r>
            <w:r w:rsidDel="00000000" w:rsidR="00000000" w:rsidRPr="00000000">
              <w:rPr>
                <w:i w:val="1"/>
                <w:iCs w:val="1"/>
                <w:rtl w:val="0"/>
              </w:rPr>
              <w:t xml:space="preserve">1. ALTERNATÍVA: (választottbíróság Budapesten)] Bármely vita elbírálására, amely a jelen szerződésből vagy azzal összefüggésben, így különösen annak megszegésével, megszűnésével, érvényességével vagy értelmezésével kapcsolatban keletkezik, a felek a rendes bírósági utat kizárják és alávetik magukat a Magyar Kereskedelmi és Iparkamara mellett működő Állandó Választottbíróság kizárólagos és végleges döntésének azzal, hogy a Választottbíróság a saját (Gyorsított Eljárásra vonatkozó Alszabályzat rendelkezéseivel kiegészített) Eljárási Szabályzata szerint jár el, az eljáró választottbíró(k) száma…(három/egy) és az eljárás során a … (pl. magyar/német/angol) nyelvet kell alkalmazni. A felek kizárják a választottbíráskodásról szóló 2017. évi LX. törvény IX. Fejezetében szabályozott eljárásújítás lehetőségét. A jogvita eldöntésére alkalmazandó anyagi jog a … jog, ide nem értve annak nemzetközi magánjogi szabályait.</w:t>
              <w:br w:type="textWrapping"/>
              <w:br w:type="textWrapping"/>
              <w:t xml:space="preserve">[2. ALTERNATÍVA – Rendes bíróságok Magyarországon:] Jelen Megállapodásból eredő vagy azzal összefüggésben felmerülő vita, igény vagy értelmezési kérdés tekintetében a Felek a magyar állami bíróságok kizárólagos illetékességét kötik ki.</w:t>
            </w:r>
            <w:r w:rsidDel="00000000" w:rsidR="00000000" w:rsidRPr="00000000">
              <w:rPr>
                <w:rtl w:val="0"/>
              </w:rPr>
            </w:r>
          </w:p>
        </w:tc>
        <w:tc>
          <w:tcPr/>
          <w:p w:rsidR="00000000" w:rsidDel="00000000" w:rsidP="00000000" w:rsidRDefault="00000000" w:rsidRPr="00000000" w14:paraId="00000104">
            <w:pPr>
              <w:spacing w:after="0" w:lineRule="auto"/>
              <w:ind w:left="0" w:firstLine="0"/>
              <w:rPr/>
            </w:pPr>
            <w:r w:rsidDel="00000000" w:rsidR="00000000" w:rsidRPr="00000000">
              <w:rPr>
                <w:rtl w:val="0"/>
              </w:rPr>
              <w:t xml:space="preserve">All rights and obligations hereunder will be governed by the laws of Hungary, without regard to the conflicts of law provisions of such jurisdiction.  Any disputes arising from this Safe will be solved by the courts of Hungary.</w:t>
            </w:r>
          </w:p>
          <w:p w:rsidR="00000000" w:rsidDel="00000000" w:rsidP="00000000" w:rsidRDefault="00000000" w:rsidRPr="00000000" w14:paraId="00000105">
            <w:pPr>
              <w:spacing w:after="0" w:lineRule="auto"/>
              <w:ind w:left="0" w:firstLine="0"/>
              <w:rPr/>
            </w:pPr>
            <w:r w:rsidDel="00000000" w:rsidR="00000000" w:rsidRPr="00000000">
              <w:rPr>
                <w:rtl w:val="0"/>
              </w:rPr>
            </w:r>
          </w:p>
          <w:p w:rsidR="00000000" w:rsidDel="00000000" w:rsidP="00000000" w:rsidRDefault="00000000" w:rsidRPr="00000000" w14:paraId="00000106">
            <w:pPr>
              <w:spacing w:after="0" w:lineRule="auto"/>
              <w:ind w:left="0" w:firstLine="0"/>
              <w:rPr/>
            </w:pPr>
            <w:r w:rsidDel="00000000" w:rsidR="00000000" w:rsidRPr="00000000">
              <w:rPr>
                <w:rtl w:val="0"/>
              </w:rPr>
            </w:r>
          </w:p>
          <w:p w:rsidR="00000000" w:rsidDel="00000000" w:rsidP="00000000" w:rsidRDefault="00000000" w:rsidRPr="00000000" w14:paraId="00000107">
            <w:pPr>
              <w:spacing w:after="0" w:lineRule="auto"/>
              <w:ind w:left="0" w:firstLine="0"/>
              <w:rPr>
                <w:i w:val="1"/>
                <w:iCs w:val="1"/>
              </w:rPr>
            </w:pPr>
            <w:r w:rsidDel="00000000" w:rsidR="00000000" w:rsidRPr="00000000">
              <w:rPr>
                <w:i w:val="1"/>
                <w:iCs w:val="1"/>
                <w:rtl w:val="0"/>
              </w:rPr>
              <w:t xml:space="preserve">[OPTION 1 (arbitration in Budapest)] In the event of any dispute      arising      from or in connection with the present contract, so especially with its breach, termination, validity or interpretation, the parties exclude the state court procedure and agree to submit the matter to the exclusive and final decision of the Permanent Arbitration Court      attached to the Hungarian Chamber of Commerce and Industry      (Commercial Arbitration Court Budapest). The Arbitration Court proceeds in accordance with its      own Rules of Proceedings (supplemented with the provisions of the Sub-Rules of Expedited Proceedings). The      number of      arbitrators shall be      3/1 (three/one) and the language      to be used in the      arbitral proceedings shall be English. The parties exclude the possibility of the retrial of the proceedings as regulated in Section IX of Act no. LX of 2017 on Arbitration.</w:t>
            </w:r>
          </w:p>
          <w:p w:rsidR="00000000" w:rsidDel="00000000" w:rsidP="00000000" w:rsidRDefault="00000000" w:rsidRPr="00000000" w14:paraId="00000108">
            <w:pPr>
              <w:spacing w:after="0" w:lineRule="auto"/>
              <w:ind w:left="0" w:firstLine="0"/>
              <w:rPr>
                <w:i w:val="1"/>
                <w:iCs w:val="1"/>
              </w:rPr>
            </w:pPr>
            <w:r w:rsidDel="00000000" w:rsidR="00000000" w:rsidRPr="00000000">
              <w:rPr>
                <w:rtl w:val="0"/>
              </w:rPr>
            </w:r>
          </w:p>
          <w:p w:rsidR="00000000" w:rsidDel="00000000" w:rsidP="00000000" w:rsidRDefault="00000000" w:rsidRPr="00000000" w14:paraId="00000109">
            <w:pPr>
              <w:spacing w:after="0" w:lineRule="auto"/>
              <w:ind w:left="0" w:firstLine="0"/>
              <w:rPr>
                <w:i w:val="1"/>
                <w:iCs w:val="1"/>
              </w:rPr>
            </w:pPr>
            <w:r w:rsidDel="00000000" w:rsidR="00000000" w:rsidRPr="00000000">
              <w:rPr>
                <w:rtl w:val="0"/>
              </w:rPr>
            </w:r>
          </w:p>
          <w:p w:rsidR="00000000" w:rsidDel="00000000" w:rsidP="00000000" w:rsidRDefault="00000000" w:rsidRPr="00000000" w14:paraId="0000010A">
            <w:pPr>
              <w:spacing w:after="0" w:lineRule="auto"/>
              <w:ind w:left="0" w:firstLine="0"/>
              <w:rPr>
                <w:i w:val="1"/>
                <w:iCs w:val="1"/>
              </w:rPr>
            </w:pPr>
            <w:r w:rsidDel="00000000" w:rsidR="00000000" w:rsidRPr="00000000">
              <w:rPr>
                <w:rtl w:val="0"/>
              </w:rPr>
            </w:r>
          </w:p>
          <w:p w:rsidR="00000000" w:rsidDel="00000000" w:rsidP="00000000" w:rsidRDefault="00000000" w:rsidRPr="00000000" w14:paraId="0000010B">
            <w:pPr>
              <w:spacing w:after="0" w:lineRule="auto"/>
              <w:ind w:left="0" w:firstLine="0"/>
              <w:rPr>
                <w:i w:val="1"/>
                <w:iCs w:val="1"/>
              </w:rPr>
            </w:pPr>
            <w:r w:rsidDel="00000000" w:rsidR="00000000" w:rsidRPr="00000000">
              <w:rPr>
                <w:rtl w:val="0"/>
              </w:rPr>
            </w:r>
          </w:p>
          <w:p w:rsidR="00000000" w:rsidDel="00000000" w:rsidP="00000000" w:rsidRDefault="00000000" w:rsidRPr="00000000" w14:paraId="0000010C">
            <w:pPr>
              <w:spacing w:after="0" w:lineRule="auto"/>
              <w:ind w:left="0" w:firstLine="0"/>
              <w:rPr/>
            </w:pPr>
            <w:r w:rsidDel="00000000" w:rsidR="00000000" w:rsidRPr="00000000">
              <w:rPr>
                <w:i w:val="1"/>
                <w:iCs w:val="1"/>
                <w:rtl w:val="0"/>
              </w:rPr>
              <w:t xml:space="preserve">[OPTION 2. general courts in Hungary: Any dispute, controversy or claim arising out of or in connection with this Agreement shall be subject to jurisdiction of      the ordinary courts in Hungary.]</w:t>
            </w:r>
            <w:r w:rsidDel="00000000" w:rsidR="00000000" w:rsidRPr="00000000">
              <w:rPr>
                <w:rtl w:val="0"/>
              </w:rPr>
            </w:r>
          </w:p>
        </w:tc>
      </w:tr>
      <w:tr>
        <w:trPr>
          <w:cantSplit w:val="0"/>
          <w:trHeight w:val="220" w:hRule="atLeast"/>
          <w:tblHeader w:val="0"/>
        </w:trPr>
        <w:tc>
          <w:tcPr>
            <w:gridSpan w:val="2"/>
          </w:tcPr>
          <w:p w:rsidR="00000000" w:rsidDel="00000000" w:rsidP="00000000" w:rsidRDefault="00000000" w:rsidRPr="00000000" w14:paraId="0000010D">
            <w:pPr>
              <w:spacing w:line="259" w:lineRule="auto"/>
              <w:ind w:left="0"/>
              <w:jc w:val="center"/>
              <w:rPr/>
            </w:pPr>
            <w:r w:rsidDel="00000000" w:rsidR="00000000" w:rsidRPr="00000000">
              <w:rPr>
                <w:rtl w:val="0"/>
              </w:rPr>
              <w:t xml:space="preserve">(</w:t>
            </w:r>
            <w:r w:rsidDel="00000000" w:rsidR="00000000" w:rsidRPr="00000000">
              <w:rPr>
                <w:i w:val="1"/>
                <w:iCs w:val="1"/>
                <w:rtl w:val="0"/>
              </w:rPr>
              <w:t xml:space="preserve">Signature page follows</w:t>
            </w:r>
            <w:r w:rsidDel="00000000" w:rsidR="00000000" w:rsidRPr="00000000">
              <w:rPr>
                <w:rtl w:val="0"/>
              </w:rPr>
              <w:t xml:space="preserve">)</w:t>
            </w:r>
          </w:p>
        </w:tc>
      </w:tr>
    </w:tbl>
    <w:p w:rsidR="00000000" w:rsidDel="00000000" w:rsidP="00000000" w:rsidRDefault="00000000" w:rsidRPr="00000000" w14:paraId="0000010F">
      <w:pPr>
        <w:rPr/>
      </w:pPr>
      <w:r w:rsidDel="00000000" w:rsidR="00000000" w:rsidRPr="00000000">
        <w:br w:type="page"/>
      </w:r>
      <w:r w:rsidDel="00000000" w:rsidR="00000000" w:rsidRPr="00000000">
        <w:rPr>
          <w:rtl w:val="0"/>
        </w:rPr>
      </w:r>
    </w:p>
    <w:p w:rsidR="00000000" w:rsidDel="00000000" w:rsidP="00000000" w:rsidRDefault="00000000" w:rsidRPr="00000000" w14:paraId="00000110">
      <w:pPr>
        <w:spacing w:line="259" w:lineRule="auto"/>
        <w:ind w:left="0"/>
        <w:jc w:val="left"/>
        <w:rPr/>
      </w:pPr>
      <w:r w:rsidDel="00000000" w:rsidR="00000000" w:rsidRPr="00000000">
        <w:rPr>
          <w:rtl w:val="0"/>
        </w:rPr>
      </w:r>
    </w:p>
    <w:p w:rsidR="00000000" w:rsidDel="00000000" w:rsidP="00000000" w:rsidRDefault="00000000" w:rsidRPr="00000000" w14:paraId="00000111">
      <w:pPr>
        <w:spacing w:line="259" w:lineRule="auto"/>
        <w:ind w:left="0"/>
        <w:jc w:val="center"/>
        <w:rPr/>
      </w:pPr>
      <w:r w:rsidDel="00000000" w:rsidR="00000000" w:rsidRPr="00000000">
        <w:rPr>
          <w:rtl w:val="0"/>
        </w:rPr>
        <w:t xml:space="preserve">IN WITNESS WHEREOF, the undersigned have caused this Safe to be duly executed and delivered.</w:t>
      </w:r>
    </w:p>
    <w:p w:rsidR="00000000" w:rsidDel="00000000" w:rsidP="00000000" w:rsidRDefault="00000000" w:rsidRPr="00000000" w14:paraId="00000112">
      <w:pPr>
        <w:spacing w:line="259" w:lineRule="auto"/>
        <w:ind w:left="0"/>
        <w:jc w:val="left"/>
        <w:rPr/>
      </w:pPr>
      <w:r w:rsidDel="00000000" w:rsidR="00000000" w:rsidRPr="00000000">
        <w:rPr>
          <w:rtl w:val="0"/>
        </w:rPr>
      </w:r>
    </w:p>
    <w:tbl>
      <w:tblPr>
        <w:tblStyle w:val="Table2"/>
        <w:tblW w:w="3918.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18"/>
        <w:tblGridChange w:id="0">
          <w:tblGrid>
            <w:gridCol w:w="3918"/>
          </w:tblGrid>
        </w:tblGridChange>
      </w:tblGrid>
      <w:tr>
        <w:trPr>
          <w:cantSplit w:val="0"/>
          <w:tblHeader w:val="0"/>
        </w:trPr>
        <w:tc>
          <w:tcPr>
            <w:vAlign w:val="center"/>
          </w:tcPr>
          <w:p w:rsidR="00000000" w:rsidDel="00000000" w:rsidP="00000000" w:rsidRDefault="00000000" w:rsidRPr="00000000" w14:paraId="00000113">
            <w:pPr>
              <w:ind w:left="0"/>
              <w:jc w:val="left"/>
              <w:rPr/>
            </w:pPr>
            <w:r w:rsidDel="00000000" w:rsidR="00000000" w:rsidRPr="00000000">
              <w:rPr>
                <w:rtl w:val="0"/>
              </w:rPr>
              <w:t xml:space="preserve">[</w:t>
            </w:r>
            <w:r w:rsidDel="00000000" w:rsidR="00000000" w:rsidRPr="00000000">
              <w:rPr>
                <w:b w:val="1"/>
                <w:bCs w:val="1"/>
                <w:rtl w:val="0"/>
              </w:rPr>
              <w:t xml:space="preserve">COMPANY]</w:t>
              <w:tab/>
              <w:tab/>
              <w:tab/>
              <w:tab/>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4">
            <w:pPr>
              <w:ind w:left="0"/>
              <w:jc w:val="left"/>
              <w:rPr>
                <w:u w:val="single"/>
              </w:rPr>
            </w:pPr>
            <w:r w:rsidDel="00000000" w:rsidR="00000000" w:rsidRPr="00000000">
              <w:rPr>
                <w:rtl w:val="0"/>
              </w:rPr>
              <w:t xml:space="preserve">By:</w:t>
            </w:r>
            <w:r w:rsidDel="00000000" w:rsidR="00000000" w:rsidRPr="00000000">
              <w:rPr>
                <w:u w:val="single"/>
                <w:rtl w:val="0"/>
              </w:rPr>
              <w:tab/>
              <w:tab/>
              <w:tab/>
              <w:tab/>
              <w:tab/>
            </w:r>
          </w:p>
          <w:p w:rsidR="00000000" w:rsidDel="00000000" w:rsidP="00000000" w:rsidRDefault="00000000" w:rsidRPr="00000000" w14:paraId="00000115">
            <w:pPr>
              <w:ind w:left="0"/>
              <w:jc w:val="left"/>
              <w:rPr/>
            </w:pPr>
            <w:r w:rsidDel="00000000" w:rsidR="00000000" w:rsidRPr="00000000">
              <w:rPr>
                <w:rtl w:val="0"/>
              </w:rPr>
              <w:t xml:space="preserve">[</w:t>
            </w:r>
            <w:r w:rsidDel="00000000" w:rsidR="00000000" w:rsidRPr="00000000">
              <w:rPr>
                <w:i w:val="1"/>
                <w:iCs w:val="1"/>
                <w:rtl w:val="0"/>
              </w:rPr>
              <w:t xml:space="preserve">name</w:t>
            </w:r>
            <w:r w:rsidDel="00000000" w:rsidR="00000000" w:rsidRPr="00000000">
              <w:rPr>
                <w:rtl w:val="0"/>
              </w:rPr>
              <w:t xml:space="preserve">]</w:t>
              <w:tab/>
              <w:tab/>
              <w:tab/>
              <w:tab/>
            </w:r>
          </w:p>
          <w:p w:rsidR="00000000" w:rsidDel="00000000" w:rsidP="00000000" w:rsidRDefault="00000000" w:rsidRPr="00000000" w14:paraId="00000116">
            <w:pPr>
              <w:ind w:left="0"/>
              <w:jc w:val="left"/>
              <w:rPr/>
            </w:pPr>
            <w:r w:rsidDel="00000000" w:rsidR="00000000" w:rsidRPr="00000000">
              <w:rPr>
                <w:rtl w:val="0"/>
              </w:rPr>
              <w:t xml:space="preserve">[</w:t>
            </w:r>
            <w:r w:rsidDel="00000000" w:rsidR="00000000" w:rsidRPr="00000000">
              <w:rPr>
                <w:i w:val="1"/>
                <w:iCs w:val="1"/>
                <w:rtl w:val="0"/>
              </w:rPr>
              <w:t xml:space="preserve">title</w:t>
            </w:r>
            <w:r w:rsidDel="00000000" w:rsidR="00000000" w:rsidRPr="00000000">
              <w:rPr>
                <w:rtl w:val="0"/>
              </w:rPr>
              <w:t xml:space="preserve">]</w:t>
              <w:tab/>
              <w:tab/>
              <w:tab/>
              <w:tab/>
            </w:r>
          </w:p>
          <w:p w:rsidR="00000000" w:rsidDel="00000000" w:rsidP="00000000" w:rsidRDefault="00000000" w:rsidRPr="00000000" w14:paraId="00000117">
            <w:pPr>
              <w:ind w:left="0"/>
              <w:jc w:val="righ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8">
            <w:pPr>
              <w:spacing w:after="160" w:lineRule="auto"/>
              <w:ind w:left="0"/>
              <w:jc w:val="left"/>
              <w:rPr/>
            </w:pPr>
            <w:r w:rsidDel="00000000" w:rsidR="00000000" w:rsidRPr="00000000">
              <w:rPr>
                <w:rtl w:val="0"/>
              </w:rPr>
              <w:t xml:space="preserve">Address:</w:t>
            </w:r>
            <w:r w:rsidDel="00000000" w:rsidR="00000000" w:rsidRPr="00000000">
              <w:rPr>
                <w:u w:val="single"/>
                <w:rtl w:val="0"/>
              </w:rPr>
              <w:t xml:space="preserve"> </w:t>
              <w:tab/>
              <w:tab/>
              <w:tab/>
              <w:tab/>
              <w:tab/>
              <w:tab/>
              <w:tab/>
              <w:t xml:space="preserve">______________</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9">
            <w:pPr>
              <w:ind w:left="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A">
            <w:pPr>
              <w:ind w:left="0"/>
              <w:jc w:val="left"/>
              <w:rPr>
                <w:u w:val="single"/>
              </w:rPr>
            </w:pPr>
            <w:r w:rsidDel="00000000" w:rsidR="00000000" w:rsidRPr="00000000">
              <w:rPr>
                <w:rtl w:val="0"/>
              </w:rPr>
              <w:t xml:space="preserve">Email:</w:t>
            </w:r>
            <w:r w:rsidDel="00000000" w:rsidR="00000000" w:rsidRPr="00000000">
              <w:rPr>
                <w:u w:val="single"/>
                <w:rtl w:val="0"/>
              </w:rPr>
              <w:tab/>
              <w:tab/>
              <w:t xml:space="preserve">____________________</w:t>
            </w:r>
          </w:p>
          <w:p w:rsidR="00000000" w:rsidDel="00000000" w:rsidP="00000000" w:rsidRDefault="00000000" w:rsidRPr="00000000" w14:paraId="0000011B">
            <w:pPr>
              <w:ind w:left="0"/>
              <w:jc w:val="righ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C">
            <w:pPr>
              <w:ind w:left="0"/>
              <w:jc w:val="left"/>
              <w:rPr/>
            </w:pPr>
            <w:r w:rsidDel="00000000" w:rsidR="00000000" w:rsidRPr="00000000">
              <w:rPr>
                <w:b w:val="1"/>
                <w:bCs w:val="1"/>
                <w:rtl w:val="0"/>
              </w:rPr>
              <w:t xml:space="preserve">INVESTOR:</w:t>
              <w:tab/>
              <w:tab/>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D">
            <w:pPr>
              <w:ind w:left="0"/>
              <w:jc w:val="left"/>
              <w:rPr>
                <w:u w:val="single"/>
              </w:rPr>
            </w:pPr>
            <w:r w:rsidDel="00000000" w:rsidR="00000000" w:rsidRPr="00000000">
              <w:rPr>
                <w:rtl w:val="0"/>
              </w:rPr>
              <w:t xml:space="preserve">By:</w:t>
            </w:r>
            <w:r w:rsidDel="00000000" w:rsidR="00000000" w:rsidRPr="00000000">
              <w:rPr>
                <w:u w:val="single"/>
                <w:rtl w:val="0"/>
              </w:rPr>
              <w:tab/>
              <w:tab/>
              <w:tab/>
              <w:tab/>
              <w:tab/>
            </w:r>
          </w:p>
          <w:p w:rsidR="00000000" w:rsidDel="00000000" w:rsidP="00000000" w:rsidRDefault="00000000" w:rsidRPr="00000000" w14:paraId="0000011E">
            <w:pPr>
              <w:ind w:left="0"/>
              <w:jc w:val="left"/>
              <w:rPr/>
            </w:pPr>
            <w:r w:rsidDel="00000000" w:rsidR="00000000" w:rsidRPr="00000000">
              <w:rPr>
                <w:rtl w:val="0"/>
              </w:rPr>
              <w:t xml:space="preserve">[</w:t>
            </w:r>
            <w:r w:rsidDel="00000000" w:rsidR="00000000" w:rsidRPr="00000000">
              <w:rPr>
                <w:i w:val="1"/>
                <w:iCs w:val="1"/>
                <w:rtl w:val="0"/>
              </w:rPr>
              <w:t xml:space="preserve">name</w:t>
            </w:r>
            <w:r w:rsidDel="00000000" w:rsidR="00000000" w:rsidRPr="00000000">
              <w:rPr>
                <w:rtl w:val="0"/>
              </w:rPr>
              <w:t xml:space="preserve">]</w:t>
              <w:tab/>
              <w:tab/>
              <w:tab/>
              <w:tab/>
            </w:r>
          </w:p>
          <w:p w:rsidR="00000000" w:rsidDel="00000000" w:rsidP="00000000" w:rsidRDefault="00000000" w:rsidRPr="00000000" w14:paraId="0000011F">
            <w:pPr>
              <w:ind w:left="0"/>
              <w:jc w:val="left"/>
              <w:rPr/>
            </w:pPr>
            <w:r w:rsidDel="00000000" w:rsidR="00000000" w:rsidRPr="00000000">
              <w:rPr>
                <w:rtl w:val="0"/>
              </w:rPr>
              <w:t xml:space="preserve">[</w:t>
            </w:r>
            <w:r w:rsidDel="00000000" w:rsidR="00000000" w:rsidRPr="00000000">
              <w:rPr>
                <w:i w:val="1"/>
                <w:iCs w:val="1"/>
                <w:rtl w:val="0"/>
              </w:rPr>
              <w:t xml:space="preserve">title</w:t>
            </w:r>
            <w:r w:rsidDel="00000000" w:rsidR="00000000" w:rsidRPr="00000000">
              <w:rPr>
                <w:rtl w:val="0"/>
              </w:rPr>
              <w:t xml:space="preserve">]</w:t>
              <w:tab/>
              <w:tab/>
              <w:tab/>
              <w:tab/>
            </w:r>
          </w:p>
          <w:p w:rsidR="00000000" w:rsidDel="00000000" w:rsidP="00000000" w:rsidRDefault="00000000" w:rsidRPr="00000000" w14:paraId="00000120">
            <w:pPr>
              <w:ind w:left="0"/>
              <w:jc w:val="righ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1">
            <w:pPr>
              <w:spacing w:after="160" w:lineRule="auto"/>
              <w:ind w:left="0"/>
              <w:jc w:val="left"/>
              <w:rPr/>
            </w:pPr>
            <w:r w:rsidDel="00000000" w:rsidR="00000000" w:rsidRPr="00000000">
              <w:rPr>
                <w:rtl w:val="0"/>
              </w:rPr>
              <w:t xml:space="preserve">Address:</w:t>
            </w:r>
            <w:r w:rsidDel="00000000" w:rsidR="00000000" w:rsidRPr="00000000">
              <w:rPr>
                <w:rtl w:val="0"/>
              </w:rPr>
              <w:t xml:space="preserve">___________________________________________________________</w:t>
            </w:r>
          </w:p>
        </w:tc>
      </w:tr>
      <w:tr>
        <w:trPr>
          <w:cantSplit w:val="0"/>
          <w:tblHeader w:val="0"/>
        </w:trPr>
        <w:tc>
          <w:tcPr>
            <w:vAlign w:val="center"/>
          </w:tcPr>
          <w:p w:rsidR="00000000" w:rsidDel="00000000" w:rsidP="00000000" w:rsidRDefault="00000000" w:rsidRPr="00000000" w14:paraId="00000122">
            <w:pPr>
              <w:ind w:left="0"/>
              <w:jc w:val="left"/>
              <w:rPr/>
            </w:pPr>
            <w:r w:rsidDel="00000000" w:rsidR="00000000" w:rsidRPr="00000000">
              <w:rPr>
                <w:rtl w:val="0"/>
              </w:rPr>
              <w:t xml:space="preserve">Email:</w:t>
            </w:r>
            <w:r w:rsidDel="00000000" w:rsidR="00000000" w:rsidRPr="00000000">
              <w:rPr>
                <w:rtl w:val="0"/>
              </w:rPr>
              <w:t xml:space="preserve">____________________________</w:t>
            </w:r>
          </w:p>
          <w:p w:rsidR="00000000" w:rsidDel="00000000" w:rsidP="00000000" w:rsidRDefault="00000000" w:rsidRPr="00000000" w14:paraId="00000123">
            <w:pPr>
              <w:ind w:left="0"/>
              <w:jc w:val="left"/>
              <w:rPr/>
            </w:pPr>
            <w:r w:rsidDel="00000000" w:rsidR="00000000" w:rsidRPr="00000000">
              <w:rPr>
                <w:rtl w:val="0"/>
              </w:rPr>
            </w:r>
          </w:p>
        </w:tc>
      </w:tr>
    </w:tbl>
    <w:p w:rsidR="00000000" w:rsidDel="00000000" w:rsidP="00000000" w:rsidRDefault="00000000" w:rsidRPr="00000000" w14:paraId="00000124">
      <w:pPr>
        <w:spacing w:line="259" w:lineRule="auto"/>
        <w:ind w:left="0"/>
        <w:jc w:val="left"/>
        <w:rPr/>
      </w:pPr>
      <w:r w:rsidDel="00000000" w:rsidR="00000000" w:rsidRPr="00000000">
        <w:rPr>
          <w:rtl w:val="0"/>
        </w:rPr>
      </w:r>
    </w:p>
    <w:sectPr>
      <w:headerReference r:id="rId10" w:type="default"/>
      <w:headerReference r:id="rId11" w:type="first"/>
      <w:footerReference r:id="rId12" w:type="default"/>
      <w:pgSz w:h="16838" w:w="11906" w:orient="portrait"/>
      <w:pgMar w:bottom="1418" w:top="993" w:left="1418" w:right="141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Unbounde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7">
    <w:pPr>
      <w:tabs>
        <w:tab w:val="center" w:leader="none" w:pos="4536"/>
        <w:tab w:val="right" w:leader="none" w:pos="9072"/>
      </w:tabs>
      <w:spacing w:after="0" w:lineRule="auto"/>
      <w:ind w:left="0"/>
      <w:jc w:val="right"/>
      <w:rPr>
        <w:rFonts w:ascii="Calibri" w:cs="Calibri" w:eastAsia="Calibri" w:hAnsi="Calibri"/>
      </w:rPr>
    </w:pP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8">
    <w:pPr>
      <w:pBdr>
        <w:top w:color="000000" w:space="2" w:sz="18" w:val="single"/>
      </w:pBdr>
      <w:spacing w:after="0" w:before="200" w:lineRule="auto"/>
      <w:ind w:left="-1440" w:right="-1440" w:firstLine="720"/>
      <w:jc w:val="left"/>
      <w:rPr>
        <w:rFonts w:ascii="Arial" w:cs="Arial" w:eastAsia="Arial" w:hAnsi="Arial"/>
      </w:rPr>
    </w:pPr>
    <w:r w:rsidDel="00000000" w:rsidR="00000000" w:rsidRPr="00000000">
      <w:rPr>
        <w:rFonts w:ascii="Unbounded" w:cs="Unbounded" w:eastAsia="Unbounded" w:hAnsi="Unbounded"/>
        <w:rtl w:val="0"/>
      </w:rPr>
      <w:br w:type="textWrapping"/>
      <w:tab/>
      <w:t xml:space="preserve">IN COLLABORATION WITH</w:t>
      <w:br w:type="textWrapp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2793365</wp:posOffset>
          </wp:positionH>
          <wp:positionV relativeFrom="paragraph">
            <wp:posOffset>41275</wp:posOffset>
          </wp:positionV>
          <wp:extent cx="58420" cy="60667"/>
          <wp:effectExtent b="0" l="0" r="0" t="0"/>
          <wp:wrapNone/>
          <wp:docPr id="11"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58420" cy="60667"/>
                  </a:xfrm>
                  <a:prstGeom prst="rect"/>
                  <a:ln/>
                </pic:spPr>
              </pic:pic>
            </a:graphicData>
          </a:graphic>
        </wp:anchor>
      </w:drawing>
    </w:r>
  </w:p>
  <w:p w:rsidR="00000000" w:rsidDel="00000000" w:rsidP="00000000" w:rsidRDefault="00000000" w:rsidRPr="00000000" w14:paraId="00000149">
    <w:pPr>
      <w:spacing w:after="0" w:lineRule="auto"/>
      <w:ind w:left="-540" w:right="-36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014413" cy="361950"/>
          <wp:effectExtent b="0" l="0" r="0" t="0"/>
          <wp:docPr id="5" name="image2.png"/>
          <a:graphic>
            <a:graphicData uri="http://schemas.openxmlformats.org/drawingml/2006/picture">
              <pic:pic>
                <pic:nvPicPr>
                  <pic:cNvPr id="0" name="image2.png"/>
                  <pic:cNvPicPr preferRelativeResize="0"/>
                </pic:nvPicPr>
                <pic:blipFill>
                  <a:blip r:embed="rId2"/>
                  <a:srcRect b="32934" l="0" r="0" t="31736"/>
                  <a:stretch>
                    <a:fillRect/>
                  </a:stretch>
                </pic:blipFill>
                <pic:spPr>
                  <a:xfrm>
                    <a:off x="0" y="0"/>
                    <a:ext cx="1014413" cy="361950"/>
                  </a:xfrm>
                  <a:prstGeom prst="rect"/>
                  <a:ln/>
                </pic:spPr>
              </pic:pic>
            </a:graphicData>
          </a:graphic>
        </wp:inline>
      </w:drawing>
    </w:r>
    <w:r w:rsidDel="00000000" w:rsidR="00000000" w:rsidRPr="00000000">
      <w:rPr>
        <w:rFonts w:ascii="Arial" w:cs="Arial" w:eastAsia="Arial" w:hAnsi="Arial"/>
        <w:rtl w:val="0"/>
      </w:rPr>
      <w:tab/>
    </w:r>
    <w:r w:rsidDel="00000000" w:rsidR="00000000" w:rsidRPr="00000000">
      <w:rPr>
        <w:rFonts w:ascii="Unbounded" w:cs="Unbounded" w:eastAsia="Unbounded" w:hAnsi="Unbounded"/>
      </w:rPr>
      <w:drawing>
        <wp:inline distB="114300" distT="114300" distL="114300" distR="114300">
          <wp:extent cx="671513" cy="304800"/>
          <wp:effectExtent b="0" l="0" r="0" t="0"/>
          <wp:docPr id="3" name="image8.png"/>
          <a:graphic>
            <a:graphicData uri="http://schemas.openxmlformats.org/drawingml/2006/picture">
              <pic:pic>
                <pic:nvPicPr>
                  <pic:cNvPr id="0" name="image8.png"/>
                  <pic:cNvPicPr preferRelativeResize="0"/>
                </pic:nvPicPr>
                <pic:blipFill>
                  <a:blip r:embed="rId3"/>
                  <a:srcRect b="33004" l="13385" r="12598" t="32113"/>
                  <a:stretch>
                    <a:fillRect/>
                  </a:stretch>
                </pic:blipFill>
                <pic:spPr>
                  <a:xfrm>
                    <a:off x="0" y="0"/>
                    <a:ext cx="671513" cy="304800"/>
                  </a:xfrm>
                  <a:prstGeom prst="rect"/>
                  <a:ln/>
                </pic:spPr>
              </pic:pic>
            </a:graphicData>
          </a:graphic>
        </wp:inline>
      </w:drawing>
    </w:r>
    <w:r w:rsidDel="00000000" w:rsidR="00000000" w:rsidRPr="00000000">
      <w:rPr>
        <w:rFonts w:ascii="Unbounded" w:cs="Unbounded" w:eastAsia="Unbounded" w:hAnsi="Unbounded"/>
        <w:rtl w:val="0"/>
      </w:rPr>
      <w:tab/>
    </w:r>
    <w:r w:rsidDel="00000000" w:rsidR="00000000" w:rsidRPr="00000000">
      <w:rPr>
        <w:rFonts w:ascii="Unbounded" w:cs="Unbounded" w:eastAsia="Unbounded" w:hAnsi="Unbounded"/>
      </w:rPr>
      <w:drawing>
        <wp:inline distB="114300" distT="114300" distL="114300" distR="114300">
          <wp:extent cx="1014413" cy="338138"/>
          <wp:effectExtent b="0" l="0" r="0" t="0"/>
          <wp:docPr id="2" name="image6.png"/>
          <a:graphic>
            <a:graphicData uri="http://schemas.openxmlformats.org/drawingml/2006/picture">
              <pic:pic>
                <pic:nvPicPr>
                  <pic:cNvPr id="0" name="image6.png"/>
                  <pic:cNvPicPr preferRelativeResize="0"/>
                </pic:nvPicPr>
                <pic:blipFill>
                  <a:blip r:embed="rId4"/>
                  <a:srcRect b="33775" l="0" r="0" t="32946"/>
                  <a:stretch>
                    <a:fillRect/>
                  </a:stretch>
                </pic:blipFill>
                <pic:spPr>
                  <a:xfrm>
                    <a:off x="0" y="0"/>
                    <a:ext cx="1014413" cy="338138"/>
                  </a:xfrm>
                  <a:prstGeom prst="rect"/>
                  <a:ln/>
                </pic:spPr>
              </pic:pic>
            </a:graphicData>
          </a:graphic>
        </wp:inline>
      </w:drawing>
    </w:r>
    <w:r w:rsidDel="00000000" w:rsidR="00000000" w:rsidRPr="00000000">
      <w:rPr>
        <w:rFonts w:ascii="Unbounded" w:cs="Unbounded" w:eastAsia="Unbounded" w:hAnsi="Unbounded"/>
        <w:rtl w:val="0"/>
      </w:rPr>
      <w:tab/>
    </w:r>
    <w:r w:rsidDel="00000000" w:rsidR="00000000" w:rsidRPr="00000000">
      <w:rPr>
        <w:rFonts w:ascii="Unbounded" w:cs="Unbounded" w:eastAsia="Unbounded" w:hAnsi="Unbounded"/>
      </w:rPr>
      <w:drawing>
        <wp:inline distB="114300" distT="114300" distL="114300" distR="114300">
          <wp:extent cx="985838" cy="322947"/>
          <wp:effectExtent b="0" l="0" r="0" t="0"/>
          <wp:docPr id="10" name="image5.png"/>
          <a:graphic>
            <a:graphicData uri="http://schemas.openxmlformats.org/drawingml/2006/picture">
              <pic:pic>
                <pic:nvPicPr>
                  <pic:cNvPr id="0" name="image5.png"/>
                  <pic:cNvPicPr preferRelativeResize="0"/>
                </pic:nvPicPr>
                <pic:blipFill>
                  <a:blip r:embed="rId5"/>
                  <a:srcRect b="34907" l="0" r="0" t="32283"/>
                  <a:stretch>
                    <a:fillRect/>
                  </a:stretch>
                </pic:blipFill>
                <pic:spPr>
                  <a:xfrm>
                    <a:off x="0" y="0"/>
                    <a:ext cx="985838" cy="322947"/>
                  </a:xfrm>
                  <a:prstGeom prst="rect"/>
                  <a:ln/>
                </pic:spPr>
              </pic:pic>
            </a:graphicData>
          </a:graphic>
        </wp:inline>
      </w:drawing>
    </w:r>
    <w:r w:rsidDel="00000000" w:rsidR="00000000" w:rsidRPr="00000000">
      <w:rPr>
        <w:rFonts w:ascii="Unbounded" w:cs="Unbounded" w:eastAsia="Unbounded" w:hAnsi="Unbounded"/>
        <w:rtl w:val="0"/>
      </w:rPr>
      <w:tab/>
    </w:r>
    <w:r w:rsidDel="00000000" w:rsidR="00000000" w:rsidRPr="00000000">
      <w:rPr>
        <w:rFonts w:ascii="Unbounded" w:cs="Unbounded" w:eastAsia="Unbounded" w:hAnsi="Unbounded"/>
      </w:rPr>
      <w:drawing>
        <wp:inline distB="114300" distT="114300" distL="114300" distR="114300">
          <wp:extent cx="690563" cy="365592"/>
          <wp:effectExtent b="0" l="0" r="0" t="0"/>
          <wp:docPr id="12" name="image12.png"/>
          <a:graphic>
            <a:graphicData uri="http://schemas.openxmlformats.org/drawingml/2006/picture">
              <pic:pic>
                <pic:nvPicPr>
                  <pic:cNvPr id="0" name="image12.png"/>
                  <pic:cNvPicPr preferRelativeResize="0"/>
                </pic:nvPicPr>
                <pic:blipFill>
                  <a:blip r:embed="rId6"/>
                  <a:srcRect b="28584" l="0" r="0" t="19601"/>
                  <a:stretch>
                    <a:fillRect/>
                  </a:stretch>
                </pic:blipFill>
                <pic:spPr>
                  <a:xfrm>
                    <a:off x="0" y="0"/>
                    <a:ext cx="690563" cy="365592"/>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0" w:lineRule="auto"/>
      <w:ind w:left="-540" w:right="-360" w:firstLine="0"/>
      <w:jc w:val="center"/>
      <w:rPr/>
    </w:pPr>
    <w:r w:rsidDel="00000000" w:rsidR="00000000" w:rsidRPr="00000000">
      <w:rPr>
        <w:rFonts w:ascii="Unbounded" w:cs="Unbounded" w:eastAsia="Unbounded" w:hAnsi="Unbounded"/>
      </w:rPr>
      <w:drawing>
        <wp:inline distB="114300" distT="114300" distL="114300" distR="114300">
          <wp:extent cx="642938" cy="398342"/>
          <wp:effectExtent b="0" l="0" r="0" t="0"/>
          <wp:docPr id="8" name="image4.png"/>
          <a:graphic>
            <a:graphicData uri="http://schemas.openxmlformats.org/drawingml/2006/picture">
              <pic:pic>
                <pic:nvPicPr>
                  <pic:cNvPr id="0" name="image4.png"/>
                  <pic:cNvPicPr preferRelativeResize="0"/>
                </pic:nvPicPr>
                <pic:blipFill>
                  <a:blip r:embed="rId7"/>
                  <a:srcRect b="17749" l="0" r="0" t="20979"/>
                  <a:stretch>
                    <a:fillRect/>
                  </a:stretch>
                </pic:blipFill>
                <pic:spPr>
                  <a:xfrm>
                    <a:off x="0" y="0"/>
                    <a:ext cx="642938" cy="398342"/>
                  </a:xfrm>
                  <a:prstGeom prst="rect"/>
                  <a:ln/>
                </pic:spPr>
              </pic:pic>
            </a:graphicData>
          </a:graphic>
        </wp:inline>
      </w:drawing>
    </w:r>
    <w:r w:rsidDel="00000000" w:rsidR="00000000" w:rsidRPr="00000000">
      <w:rPr>
        <w:rFonts w:ascii="Unbounded" w:cs="Unbounded" w:eastAsia="Unbounded" w:hAnsi="Unbounded"/>
        <w:rtl w:val="0"/>
      </w:rPr>
      <w:tab/>
      <w:tab/>
    </w:r>
    <w:r w:rsidDel="00000000" w:rsidR="00000000" w:rsidRPr="00000000">
      <w:rPr>
        <w:rFonts w:ascii="Arial" w:cs="Arial" w:eastAsia="Arial" w:hAnsi="Arial"/>
      </w:rPr>
      <w:drawing>
        <wp:inline distB="114300" distT="114300" distL="114300" distR="114300">
          <wp:extent cx="1035507" cy="258877"/>
          <wp:effectExtent b="0" l="0" r="0" t="0"/>
          <wp:docPr id="14" name="image3.png"/>
          <a:graphic>
            <a:graphicData uri="http://schemas.openxmlformats.org/drawingml/2006/picture">
              <pic:pic>
                <pic:nvPicPr>
                  <pic:cNvPr id="0" name="image3.png"/>
                  <pic:cNvPicPr preferRelativeResize="0"/>
                </pic:nvPicPr>
                <pic:blipFill>
                  <a:blip r:embed="rId8"/>
                  <a:srcRect b="0" l="5299" r="5364" t="0"/>
                  <a:stretch>
                    <a:fillRect/>
                  </a:stretch>
                </pic:blipFill>
                <pic:spPr>
                  <a:xfrm>
                    <a:off x="0" y="0"/>
                    <a:ext cx="1035507" cy="258877"/>
                  </a:xfrm>
                  <a:prstGeom prst="rect"/>
                  <a:ln/>
                </pic:spPr>
              </pic:pic>
            </a:graphicData>
          </a:graphic>
        </wp:inline>
      </w:drawing>
    </w:r>
    <w:r w:rsidDel="00000000" w:rsidR="00000000" w:rsidRPr="00000000">
      <w:rPr>
        <w:rFonts w:ascii="Arial" w:cs="Arial" w:eastAsia="Arial" w:hAnsi="Arial"/>
        <w:rtl w:val="0"/>
      </w:rPr>
      <w:tab/>
    </w:r>
    <w:r w:rsidDel="00000000" w:rsidR="00000000" w:rsidRPr="00000000">
      <w:rPr>
        <w:rFonts w:ascii="Arial" w:cs="Arial" w:eastAsia="Arial" w:hAnsi="Arial"/>
      </w:rPr>
      <w:drawing>
        <wp:inline distB="114300" distT="114300" distL="114300" distR="114300">
          <wp:extent cx="801525" cy="267175"/>
          <wp:effectExtent b="0" l="0" r="0" t="0"/>
          <wp:docPr id="9" name="image9.png"/>
          <a:graphic>
            <a:graphicData uri="http://schemas.openxmlformats.org/drawingml/2006/picture">
              <pic:pic>
                <pic:nvPicPr>
                  <pic:cNvPr id="0" name="image9.png"/>
                  <pic:cNvPicPr preferRelativeResize="0"/>
                </pic:nvPicPr>
                <pic:blipFill>
                  <a:blip r:embed="rId9"/>
                  <a:srcRect b="35220" l="4980" r="3865" t="34591"/>
                  <a:stretch>
                    <a:fillRect/>
                  </a:stretch>
                </pic:blipFill>
                <pic:spPr>
                  <a:xfrm>
                    <a:off x="0" y="0"/>
                    <a:ext cx="801525" cy="267175"/>
                  </a:xfrm>
                  <a:prstGeom prst="rect"/>
                  <a:ln/>
                </pic:spPr>
              </pic:pic>
            </a:graphicData>
          </a:graphic>
        </wp:inline>
      </w:drawing>
    </w:r>
    <w:r w:rsidDel="00000000" w:rsidR="00000000" w:rsidRPr="00000000">
      <w:rPr>
        <w:rFonts w:ascii="Arial" w:cs="Arial" w:eastAsia="Arial" w:hAnsi="Arial"/>
        <w:rtl w:val="0"/>
      </w:rPr>
      <w:tab/>
      <w:tab/>
    </w:r>
    <w:r w:rsidDel="00000000" w:rsidR="00000000" w:rsidRPr="00000000">
      <w:rPr>
        <w:rFonts w:ascii="Arial" w:cs="Arial" w:eastAsia="Arial" w:hAnsi="Arial"/>
      </w:rPr>
      <w:drawing>
        <wp:inline distB="114300" distT="114300" distL="114300" distR="114300">
          <wp:extent cx="853005" cy="366713"/>
          <wp:effectExtent b="0" l="0" r="0" t="0"/>
          <wp:docPr id="1" name="image10.png"/>
          <a:graphic>
            <a:graphicData uri="http://schemas.openxmlformats.org/drawingml/2006/picture">
              <pic:pic>
                <pic:nvPicPr>
                  <pic:cNvPr id="0" name="image10.png"/>
                  <pic:cNvPicPr preferRelativeResize="0"/>
                </pic:nvPicPr>
                <pic:blipFill>
                  <a:blip r:embed="rId10"/>
                  <a:srcRect b="31791" l="6622" r="4895" t="32369"/>
                  <a:stretch>
                    <a:fillRect/>
                  </a:stretch>
                </pic:blipFill>
                <pic:spPr>
                  <a:xfrm>
                    <a:off x="0" y="0"/>
                    <a:ext cx="853005" cy="366713"/>
                  </a:xfrm>
                  <a:prstGeom prst="rect"/>
                  <a:ln/>
                </pic:spPr>
              </pic:pic>
            </a:graphicData>
          </a:graphic>
        </wp:inline>
      </w:drawing>
    </w:r>
    <w:r w:rsidDel="00000000" w:rsidR="00000000" w:rsidRPr="00000000">
      <w:rPr>
        <w:rFonts w:ascii="Arial" w:cs="Arial" w:eastAsia="Arial" w:hAnsi="Arial"/>
        <w:rtl w:val="0"/>
      </w:rPr>
      <w:tab/>
      <w:tab/>
    </w:r>
    <w:r w:rsidDel="00000000" w:rsidR="00000000" w:rsidRPr="00000000">
      <w:rPr>
        <w:rFonts w:ascii="Unbounded" w:cs="Unbounded" w:eastAsia="Unbounded" w:hAnsi="Unbounded"/>
      </w:rPr>
      <w:drawing>
        <wp:inline distB="114300" distT="114300" distL="114300" distR="114300">
          <wp:extent cx="519113" cy="323382"/>
          <wp:effectExtent b="0" l="0" r="0" t="0"/>
          <wp:docPr id="13" name="image7.png"/>
          <a:graphic>
            <a:graphicData uri="http://schemas.openxmlformats.org/drawingml/2006/picture">
              <pic:pic>
                <pic:nvPicPr>
                  <pic:cNvPr id="0" name="image7.png"/>
                  <pic:cNvPicPr preferRelativeResize="0"/>
                </pic:nvPicPr>
                <pic:blipFill>
                  <a:blip r:embed="rId11"/>
                  <a:srcRect b="23433" l="6140" r="6284" t="22824"/>
                  <a:stretch>
                    <a:fillRect/>
                  </a:stretch>
                </pic:blipFill>
                <pic:spPr>
                  <a:xfrm>
                    <a:off x="0" y="0"/>
                    <a:ext cx="519113" cy="323382"/>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Regulatory background:  Section 9/A(2) of Act XXXIV of 2004 on small and medium-sized enterprises and support for their development (the SME Act) requires that “the contract for the granting of a loan convertible into capital shall be concluded by the creditor with the company and all its members or all its shareholders. If all the members or shareholders do not take part in the conclusion of the contract for the granting of a loan convertible into capital, the consent of all the members or shareholders of the company shall be required for the conclusion of the contract. Any agreement to the contrary by the parties shall be null and void.” The SME Act only permits convertible loans to be provided to a start-up enterprise, which are defined as a micro or small enterprise which has been registered for not more than five years, is not listed on a stock exchange, has not yet distributed profits and has not been formed by merger or division.  Section 9/A(7) of the SME Act requires the lender providing a loan convertible into equity that it must, within 5 days of the conclusion of the contract for the provision of the loan convertible into equity and within 5 days of the conversion being recorded in the articles of association, make a notification as per section 42/J of Act LXXVI of 2014 on scientific research, development and innovation. Such notification must be made to NKFI (https://kfivelemeny.nkfih.gov.hu/).</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Act CCXXXVII of 2013 on credit institutions and financial undertakings (the Banking Act) limits lending activity in Hungary for profit (but, for example, interest-free loans are permitted). Section 6 (5)(f) exempts from licensing and regulatory requirements the granting of a loan convertible into capital on a limited basis within the meaning of the SME Act, up to a maximum of fifteen times in a calendar year, provided that:</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(fa) in the case of a natural person, when aggregated with their relatives, the total amount of loans granted to an enterprise may not exceed HUF 150 million,</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fb) in the case of a legal person, when aggregated with its affiliates, the total amount of loans granted to an enterprise may not exceed HUF 2 billion, not including such transactions concluded by a financial institution.</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Section 67(9a) of Act XVI of 2014 on collective investment schemes and their managers and amending certain financial laws generally authorizes regulated fund managers to provide loans. This section states that “a venture capital fund and a private equity fund may grant a money loan, provided that the duration of the money loan does not exceed the total duration of the remaining term of the venture capital fund or the private equity fund at the time of the granting of the loan.” In our view, this is a special regulation that overrides the general rules set out in the Banking Act. The practical implication is that regulated funds can provide loans without regard to the financial thresholds mentioned in section 6(5)(f) of the Banking Act. HVCA seeks a confirmation from the Hungarian regulator that they agree with our interpretation.</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Although none of the above are specifically applicable to SAFE instruments, HVCA received a statement of opinion from the Ministry of National Economy, that within the above regulation of convertible loans SAFE instruments can be established for investors.  HVCA is waiting from the National Bank of Hungary a further opinion that none of the above rules are applicable to SAFE’s.  Nevertheless until that it is wise to use the above convertible loan “playground” for SAFEs.</w:t>
      </w:r>
    </w:p>
  </w:footnote>
  <w:footnote w:id="7">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The term “Shares” as used in this document may refer to a “quota” (which is a notional equity interest in a kft., which is a limited liability company) or real, certificated or uncertificated, shares (which are equity securities that can be issued by a zrt., a private company limited by shares). Kfts are more widely used as the company form of a start-up business. The terminology may need to be revised in case the target company is a kft. rather than a zrt. For example, while a zrt. can “issue” shares, a quota in a kft. is “created” by court registration as defined in the articles of association and the quotaholders’ list and not issued in any shape or form. Shareholders can be members (tagok in Hungarian or részvényesek in Hungarian – depending on whether the Company operates as a kft. or as a zrt.). Please obtain specific advice and adapt this model agreement to the specific form of the target company. While the nominal value of a share can be HUF 1 or less in a zrt., the nominal value of a quota in a kft. for the time being may not be lower than HUF 100,000 – although HVCA started lobbying for lowering or eliminating this threshold similar to the regulation of shares - and meanwhile this limitation must be dealt with in connection with any conversion of loans into the registered capital of a kft, however one quotaholder may have more than one quota, therefore quotas can be created in a “share like” allocation</w:t>
      </w:r>
    </w:p>
  </w:footnote>
  <w:footnote w:id="8">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In accordance with Hungarian law in the case of even a kft. each shareholder may hold more than one quota. In legal terms, this Agreement refers to Shares in the plural but defines a “Share” as a notional value of the nominal value of a single share. This way, the Agreement is easier to read, but at the same time, follows the concept of kft -type shares where quotas may be defined by their nominal value, as set forth in the Hungarian law.</w:t>
      </w:r>
    </w:p>
  </w:footnote>
  <w:footnote w:id="1">
    <w:p w:rsidR="00000000" w:rsidDel="00000000" w:rsidP="00000000" w:rsidRDefault="00000000" w:rsidRPr="00000000" w14:paraId="0000012D">
      <w:pPr>
        <w:spacing w:after="0" w:lineRule="auto"/>
        <w:ind w:left="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NOTE TO DRAFT: The Payment Term should be long enough to enable the Investors conduct their capital calls and transfer the Investment Amounts, but not much longer.</w:t>
      </w:r>
    </w:p>
  </w:footnote>
  <w:footnote w:id="21">
    <w:p w:rsidR="00000000" w:rsidDel="00000000" w:rsidP="00000000" w:rsidRDefault="00000000" w:rsidRPr="00000000" w14:paraId="0000012E">
      <w:pPr>
        <w:spacing w:after="0" w:lineRule="auto"/>
        <w:ind w:left="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NOTE TO DRAFT: The Company should consider whether the rights included in this Section - information rights, right to participate in the next Relevant Financing round and MFN (if included) – should be given to each and any investor participating in the convertible financing round or only to those investors who make a significant contribution to the round (so-called Major Investors).</w:t>
      </w:r>
    </w:p>
  </w:footnote>
  <w:footnote w:id="22">
    <w:p w:rsidR="00000000" w:rsidDel="00000000" w:rsidP="00000000" w:rsidRDefault="00000000" w:rsidRPr="00000000" w14:paraId="0000012F">
      <w:pPr>
        <w:spacing w:after="0" w:lineRule="auto"/>
        <w:ind w:left="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NOTE TO DRAFT: This option may be selected if the Company already has a proper investor/shareholder reporting procedure in place either as agreed in the shareholders’ agreement or otherwise.</w:t>
      </w:r>
    </w:p>
  </w:footnote>
  <w:footnote w:id="23">
    <w:p w:rsidR="00000000" w:rsidDel="00000000" w:rsidP="00000000" w:rsidRDefault="00000000" w:rsidRPr="00000000" w14:paraId="00000130">
      <w:pPr>
        <w:spacing w:after="0" w:lineRule="auto"/>
        <w:ind w:left="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NOTE TO DRAFT: This option may be selected if the Company has not previously established any investor/shareholder reporting procedures, for example, if the current convertible financing round is the first financing round for the Company.</w:t>
      </w:r>
    </w:p>
  </w:footnote>
  <w:footnote w:id="24">
    <w:p w:rsidR="00000000" w:rsidDel="00000000" w:rsidP="00000000" w:rsidRDefault="00000000" w:rsidRPr="00000000" w14:paraId="00000131">
      <w:pPr>
        <w:spacing w:after="0" w:lineRule="auto"/>
        <w:ind w:left="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NOTE TO DRAFT: The inclusion of this clause may be considered, above all, if each single investor participating in a convertible financing round enters into a separate agreement with the Company and the investor’s investment is among the first investments in such a round and/or the terms of this agreement are relatively Company-friendly (e.g. no valuation cap or discount) and the investor is concerned that more investor-friendly terms may be offered to subsequent investors. However, the inclusion of such clause restricts the Company’s fundraising activities and creates an additional administrative burden. Therefore, please consult with an attorney or lawyer before including this clause.</w:t>
      </w:r>
    </w:p>
  </w:footnote>
  <w:footnote w:id="3">
    <w:p w:rsidR="00000000" w:rsidDel="00000000" w:rsidP="00000000" w:rsidRDefault="00000000" w:rsidRPr="00000000" w14:paraId="00000134">
      <w:pPr>
        <w:spacing w:after="0" w:lineRule="auto"/>
        <w:ind w:left="0"/>
        <w:jc w:val="left"/>
        <w:rPr>
          <w:sz w:val="20"/>
          <w:szCs w:val="20"/>
          <w:shd w:fill="ff9900" w:val="clear"/>
        </w:rPr>
      </w:pPr>
      <w:r w:rsidDel="00000000" w:rsidR="00000000" w:rsidRPr="00000000">
        <w:rPr>
          <w:rStyle w:val="FootnoteReference"/>
          <w:vertAlign w:val="superscript"/>
        </w:rPr>
        <w:footnoteRef/>
      </w:r>
      <w:r w:rsidDel="00000000" w:rsidR="00000000" w:rsidRPr="00000000">
        <w:rPr>
          <w:sz w:val="20"/>
          <w:szCs w:val="20"/>
          <w:shd w:fill="ff9900" w:val="clear"/>
          <w:rtl w:val="0"/>
        </w:rPr>
        <w:t xml:space="preserve"> The orange highlight is not applicable, if no MFN Amendment Provision is intended to be added in Section 5.3</w:t>
      </w:r>
    </w:p>
  </w:footnote>
  <w:footnote w:id="9">
    <w:p w:rsidR="00000000" w:rsidDel="00000000" w:rsidP="00000000" w:rsidRDefault="00000000" w:rsidRPr="00000000" w14:paraId="00000135">
      <w:pPr>
        <w:spacing w:after="0" w:lineRule="auto"/>
        <w:ind w:left="0"/>
        <w:jc w:val="left"/>
        <w:rPr>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highlight w:val="green"/>
          <w:rtl w:val="0"/>
        </w:rPr>
        <w:t xml:space="preserve"> </w:t>
      </w:r>
      <w:r w:rsidDel="00000000" w:rsidR="00000000" w:rsidRPr="00000000">
        <w:rPr>
          <w:sz w:val="20"/>
          <w:szCs w:val="20"/>
          <w:highlight w:val="green"/>
          <w:rtl w:val="0"/>
        </w:rPr>
        <w:t xml:space="preserve">The green highlight is not applicable and is to be deleted, if no Valuation Cap</w:t>
      </w:r>
      <w:r w:rsidDel="00000000" w:rsidR="00000000" w:rsidRPr="00000000">
        <w:rPr>
          <w:rtl w:val="0"/>
        </w:rPr>
      </w:r>
    </w:p>
  </w:footnote>
  <w:footnote w:id="10">
    <w:p w:rsidR="00000000" w:rsidDel="00000000" w:rsidP="00000000" w:rsidRDefault="00000000" w:rsidRPr="00000000" w14:paraId="00000136">
      <w:pPr>
        <w:spacing w:after="0" w:lineRule="auto"/>
        <w:ind w:left="0"/>
        <w:jc w:val="left"/>
        <w:rPr>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highlight w:val="green"/>
          <w:rtl w:val="0"/>
        </w:rPr>
        <w:t xml:space="preserve"> </w:t>
      </w:r>
      <w:r w:rsidDel="00000000" w:rsidR="00000000" w:rsidRPr="00000000">
        <w:rPr>
          <w:sz w:val="20"/>
          <w:szCs w:val="20"/>
          <w:highlight w:val="green"/>
          <w:rtl w:val="0"/>
        </w:rPr>
        <w:t xml:space="preserve">The green highlight is not applicable and is to be deleted, if no Valuation Cap</w:t>
      </w:r>
      <w:r w:rsidDel="00000000" w:rsidR="00000000" w:rsidRPr="00000000">
        <w:rPr>
          <w:rtl w:val="0"/>
        </w:rPr>
      </w:r>
    </w:p>
  </w:footnote>
  <w:footnote w:id="11">
    <w:p w:rsidR="00000000" w:rsidDel="00000000" w:rsidP="00000000" w:rsidRDefault="00000000" w:rsidRPr="00000000" w14:paraId="00000137">
      <w:pPr>
        <w:spacing w:after="0" w:lineRule="auto"/>
        <w:ind w:left="0"/>
        <w:jc w:val="left"/>
        <w:rPr>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highlight w:val="cyan"/>
          <w:rtl w:val="0"/>
        </w:rPr>
        <w:t xml:space="preserve"> </w:t>
      </w:r>
      <w:r w:rsidDel="00000000" w:rsidR="00000000" w:rsidRPr="00000000">
        <w:rPr>
          <w:sz w:val="20"/>
          <w:szCs w:val="20"/>
          <w:highlight w:val="cyan"/>
          <w:rtl w:val="0"/>
        </w:rPr>
        <w:t xml:space="preserve">The blue highlight is not applicable and is to be deleted, if no discount</w:t>
      </w:r>
      <w:r w:rsidDel="00000000" w:rsidR="00000000" w:rsidRPr="00000000">
        <w:rPr>
          <w:rtl w:val="0"/>
        </w:rPr>
      </w:r>
    </w:p>
    <w:p w:rsidR="00000000" w:rsidDel="00000000" w:rsidP="00000000" w:rsidRDefault="00000000" w:rsidRPr="00000000" w14:paraId="00000138">
      <w:pPr>
        <w:spacing w:after="0" w:lineRule="auto"/>
        <w:ind w:left="0"/>
        <w:jc w:val="left"/>
        <w:rPr>
          <w:rFonts w:ascii="Calibri" w:cs="Calibri" w:eastAsia="Calibri" w:hAnsi="Calibri"/>
          <w:sz w:val="20"/>
          <w:szCs w:val="20"/>
        </w:rPr>
      </w:pPr>
      <w:r w:rsidDel="00000000" w:rsidR="00000000" w:rsidRPr="00000000">
        <w:rPr>
          <w:rtl w:val="0"/>
        </w:rPr>
      </w:r>
    </w:p>
  </w:footnote>
  <w:footnote w:id="12">
    <w:p w:rsidR="00000000" w:rsidDel="00000000" w:rsidP="00000000" w:rsidRDefault="00000000" w:rsidRPr="00000000" w14:paraId="00000139">
      <w:pPr>
        <w:spacing w:after="0" w:lineRule="auto"/>
        <w:ind w:left="0"/>
        <w:jc w:val="left"/>
        <w:rPr>
          <w:rFonts w:ascii="Calibri" w:cs="Calibri" w:eastAsia="Calibri" w:hAnsi="Calibri"/>
          <w:sz w:val="20"/>
          <w:szCs w:val="20"/>
          <w:highlight w:val="green"/>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highlight w:val="green"/>
          <w:rtl w:val="0"/>
        </w:rPr>
        <w:t xml:space="preserve"> </w:t>
      </w:r>
      <w:r w:rsidDel="00000000" w:rsidR="00000000" w:rsidRPr="00000000">
        <w:rPr>
          <w:sz w:val="20"/>
          <w:szCs w:val="20"/>
          <w:highlight w:val="green"/>
          <w:rtl w:val="0"/>
        </w:rPr>
        <w:t xml:space="preserve">The green highlight is not applicable and is to be deleted, if no Valuation Cap</w:t>
      </w:r>
      <w:r w:rsidDel="00000000" w:rsidR="00000000" w:rsidRPr="00000000">
        <w:rPr>
          <w:rtl w:val="0"/>
        </w:rPr>
      </w:r>
    </w:p>
  </w:footnote>
  <w:footnote w:id="16">
    <w:p w:rsidR="00000000" w:rsidDel="00000000" w:rsidP="00000000" w:rsidRDefault="00000000" w:rsidRPr="00000000" w14:paraId="0000013A">
      <w:pPr>
        <w:spacing w:after="0" w:lineRule="auto"/>
        <w:ind w:left="0"/>
        <w:jc w:val="left"/>
        <w:rPr>
          <w:rFonts w:ascii="Calibri" w:cs="Calibri" w:eastAsia="Calibri" w:hAnsi="Calibri"/>
          <w:sz w:val="20"/>
          <w:szCs w:val="20"/>
          <w:highlight w:val="green"/>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highlight w:val="green"/>
          <w:rtl w:val="0"/>
        </w:rPr>
        <w:t xml:space="preserve"> </w:t>
      </w:r>
      <w:r w:rsidDel="00000000" w:rsidR="00000000" w:rsidRPr="00000000">
        <w:rPr>
          <w:sz w:val="20"/>
          <w:szCs w:val="20"/>
          <w:highlight w:val="green"/>
          <w:rtl w:val="0"/>
        </w:rPr>
        <w:t xml:space="preserve">The green highlight is not applicable and is to be deleted, if no Valuation Cap</w:t>
      </w:r>
      <w:r w:rsidDel="00000000" w:rsidR="00000000" w:rsidRPr="00000000">
        <w:rPr>
          <w:rtl w:val="0"/>
        </w:rPr>
      </w:r>
    </w:p>
  </w:footnote>
  <w:footnote w:id="14">
    <w:p w:rsidR="00000000" w:rsidDel="00000000" w:rsidP="00000000" w:rsidRDefault="00000000" w:rsidRPr="00000000" w14:paraId="0000013B">
      <w:pPr>
        <w:spacing w:after="0" w:lineRule="auto"/>
        <w:ind w:left="0"/>
        <w:jc w:val="left"/>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highlight w:val="cyan"/>
          <w:rtl w:val="0"/>
        </w:rPr>
        <w:t xml:space="preserve"> </w:t>
      </w:r>
      <w:r w:rsidDel="00000000" w:rsidR="00000000" w:rsidRPr="00000000">
        <w:rPr>
          <w:sz w:val="20"/>
          <w:szCs w:val="20"/>
          <w:highlight w:val="cyan"/>
          <w:rtl w:val="0"/>
        </w:rPr>
        <w:t xml:space="preserve">The blue highlight is not applicable and is to be deleted, if no discount</w:t>
      </w:r>
      <w:r w:rsidDel="00000000" w:rsidR="00000000" w:rsidRPr="00000000">
        <w:rPr>
          <w:rtl w:val="0"/>
        </w:rPr>
      </w:r>
    </w:p>
  </w:footnote>
  <w:footnote w:id="13">
    <w:p w:rsidR="00000000" w:rsidDel="00000000" w:rsidP="00000000" w:rsidRDefault="00000000" w:rsidRPr="00000000" w14:paraId="0000013C">
      <w:pPr>
        <w:spacing w:after="0" w:lineRule="auto"/>
        <w:ind w:left="0"/>
        <w:jc w:val="left"/>
        <w:rPr>
          <w:rFonts w:ascii="Calibri" w:cs="Calibri" w:eastAsia="Calibri" w:hAnsi="Calibri"/>
          <w:sz w:val="20"/>
          <w:szCs w:val="20"/>
          <w:highlight w:val="green"/>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highlight w:val="green"/>
          <w:rtl w:val="0"/>
        </w:rPr>
        <w:t xml:space="preserve"> </w:t>
      </w:r>
      <w:r w:rsidDel="00000000" w:rsidR="00000000" w:rsidRPr="00000000">
        <w:rPr>
          <w:sz w:val="20"/>
          <w:szCs w:val="20"/>
          <w:highlight w:val="green"/>
          <w:rtl w:val="0"/>
        </w:rPr>
        <w:t xml:space="preserve">The green highlight is not applicable and is to be deleted, if no Valuation Cap</w:t>
      </w:r>
      <w:r w:rsidDel="00000000" w:rsidR="00000000" w:rsidRPr="00000000">
        <w:rPr>
          <w:rtl w:val="0"/>
        </w:rPr>
      </w:r>
    </w:p>
  </w:footnote>
  <w:footnote w:id="15">
    <w:p w:rsidR="00000000" w:rsidDel="00000000" w:rsidP="00000000" w:rsidRDefault="00000000" w:rsidRPr="00000000" w14:paraId="0000013D">
      <w:pPr>
        <w:spacing w:after="0" w:lineRule="auto"/>
        <w:ind w:left="0"/>
        <w:jc w:val="left"/>
        <w:rPr>
          <w:sz w:val="20"/>
          <w:szCs w:val="20"/>
          <w:shd w:fill="ff9900" w:val="clear"/>
        </w:rPr>
      </w:pPr>
      <w:r w:rsidDel="00000000" w:rsidR="00000000" w:rsidRPr="00000000">
        <w:rPr>
          <w:rStyle w:val="FootnoteReference"/>
          <w:vertAlign w:val="superscript"/>
        </w:rPr>
        <w:footnoteRef/>
      </w:r>
      <w:r w:rsidDel="00000000" w:rsidR="00000000" w:rsidRPr="00000000">
        <w:rPr>
          <w:sz w:val="20"/>
          <w:szCs w:val="20"/>
          <w:shd w:fill="ff9900" w:val="clear"/>
          <w:rtl w:val="0"/>
        </w:rPr>
        <w:t xml:space="preserve"> The orange highlight is not applicable, if no MFN Amendment Provision is intended to be added in Section 5.3</w:t>
      </w:r>
    </w:p>
  </w:footnote>
  <w:footnote w:id="19">
    <w:p w:rsidR="00000000" w:rsidDel="00000000" w:rsidP="00000000" w:rsidRDefault="00000000" w:rsidRPr="00000000" w14:paraId="0000013E">
      <w:pPr>
        <w:spacing w:after="0" w:lineRule="auto"/>
        <w:ind w:left="0"/>
        <w:jc w:val="left"/>
        <w:rPr>
          <w:sz w:val="20"/>
          <w:szCs w:val="20"/>
          <w:shd w:fill="ff9900" w:val="clear"/>
        </w:rPr>
      </w:pPr>
      <w:r w:rsidDel="00000000" w:rsidR="00000000" w:rsidRPr="00000000">
        <w:rPr>
          <w:rStyle w:val="FootnoteReference"/>
          <w:vertAlign w:val="superscript"/>
        </w:rPr>
        <w:footnoteRef/>
      </w:r>
      <w:r w:rsidDel="00000000" w:rsidR="00000000" w:rsidRPr="00000000">
        <w:rPr>
          <w:sz w:val="20"/>
          <w:szCs w:val="20"/>
          <w:shd w:fill="ff9900" w:val="clear"/>
          <w:rtl w:val="0"/>
        </w:rPr>
        <w:t xml:space="preserve"> The orange highlight is not applicable, if no MFN Amendment Provision is intended to be added in Section 5.3</w:t>
      </w:r>
    </w:p>
  </w:footnote>
  <w:footnote w:id="25">
    <w:p w:rsidR="00000000" w:rsidDel="00000000" w:rsidP="00000000" w:rsidRDefault="00000000" w:rsidRPr="00000000" w14:paraId="0000013F">
      <w:pPr>
        <w:spacing w:after="0" w:lineRule="auto"/>
        <w:ind w:left="0"/>
        <w:jc w:val="left"/>
        <w:rPr>
          <w:sz w:val="20"/>
          <w:szCs w:val="20"/>
          <w:shd w:fill="ff9900" w:val="clear"/>
        </w:rPr>
      </w:pPr>
      <w:r w:rsidDel="00000000" w:rsidR="00000000" w:rsidRPr="00000000">
        <w:rPr>
          <w:rStyle w:val="FootnoteReference"/>
          <w:vertAlign w:val="superscript"/>
        </w:rPr>
        <w:footnoteRef/>
      </w:r>
      <w:r w:rsidDel="00000000" w:rsidR="00000000" w:rsidRPr="00000000">
        <w:rPr>
          <w:sz w:val="20"/>
          <w:szCs w:val="20"/>
          <w:shd w:fill="ff9900" w:val="clear"/>
          <w:rtl w:val="0"/>
        </w:rPr>
        <w:t xml:space="preserve"> The orange highlight is not applicable, if no MFN Amendment Provision is intended to be added in Section 5.3</w:t>
      </w:r>
    </w:p>
  </w:footnote>
  <w:footnote w:id="17">
    <w:p w:rsidR="00000000" w:rsidDel="00000000" w:rsidP="00000000" w:rsidRDefault="00000000" w:rsidRPr="00000000" w14:paraId="00000140">
      <w:pPr>
        <w:spacing w:after="0" w:lineRule="auto"/>
        <w:ind w:left="0"/>
        <w:jc w:val="left"/>
        <w:rPr>
          <w:rFonts w:ascii="Calibri" w:cs="Calibri" w:eastAsia="Calibri" w:hAnsi="Calibri"/>
          <w:sz w:val="20"/>
          <w:szCs w:val="20"/>
          <w:highlight w:val="green"/>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highlight w:val="green"/>
          <w:rtl w:val="0"/>
        </w:rPr>
        <w:t xml:space="preserve"> </w:t>
      </w:r>
      <w:r w:rsidDel="00000000" w:rsidR="00000000" w:rsidRPr="00000000">
        <w:rPr>
          <w:sz w:val="20"/>
          <w:szCs w:val="20"/>
          <w:highlight w:val="green"/>
          <w:rtl w:val="0"/>
        </w:rPr>
        <w:t xml:space="preserve">The green highlight is not applicable and is to be deleted, if no Valuation Cap</w:t>
      </w:r>
      <w:r w:rsidDel="00000000" w:rsidR="00000000" w:rsidRPr="00000000">
        <w:rPr>
          <w:rtl w:val="0"/>
        </w:rPr>
      </w:r>
    </w:p>
  </w:footnote>
  <w:footnote w:id="18">
    <w:p w:rsidR="00000000" w:rsidDel="00000000" w:rsidP="00000000" w:rsidRDefault="00000000" w:rsidRPr="00000000" w14:paraId="00000141">
      <w:pPr>
        <w:spacing w:after="0" w:lineRule="auto"/>
        <w:ind w:left="0"/>
        <w:jc w:val="left"/>
        <w:rPr>
          <w:rFonts w:ascii="Calibri" w:cs="Calibri" w:eastAsia="Calibri" w:hAnsi="Calibri"/>
          <w:sz w:val="20"/>
          <w:szCs w:val="20"/>
          <w:highlight w:val="green"/>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highlight w:val="green"/>
          <w:rtl w:val="0"/>
        </w:rPr>
        <w:t xml:space="preserve"> </w:t>
      </w:r>
      <w:r w:rsidDel="00000000" w:rsidR="00000000" w:rsidRPr="00000000">
        <w:rPr>
          <w:sz w:val="20"/>
          <w:szCs w:val="20"/>
          <w:highlight w:val="green"/>
          <w:rtl w:val="0"/>
        </w:rPr>
        <w:t xml:space="preserve">The green highlight is not applicable and is to be deleted, if no Valuation Cap</w:t>
      </w:r>
      <w:r w:rsidDel="00000000" w:rsidR="00000000" w:rsidRPr="00000000">
        <w:rPr>
          <w:rtl w:val="0"/>
        </w:rPr>
      </w:r>
    </w:p>
  </w:footnote>
  <w:footnote w:id="20">
    <w:p w:rsidR="00000000" w:rsidDel="00000000" w:rsidP="00000000" w:rsidRDefault="00000000" w:rsidRPr="00000000" w14:paraId="00000142">
      <w:pPr>
        <w:spacing w:after="0" w:lineRule="auto"/>
        <w:ind w:left="0"/>
        <w:jc w:val="left"/>
        <w:rPr>
          <w:rFonts w:ascii="Calibri" w:cs="Calibri" w:eastAsia="Calibri" w:hAnsi="Calibri"/>
          <w:sz w:val="20"/>
          <w:szCs w:val="20"/>
          <w:highlight w:val="green"/>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highlight w:val="green"/>
          <w:rtl w:val="0"/>
        </w:rPr>
        <w:t xml:space="preserve"> </w:t>
      </w:r>
      <w:r w:rsidDel="00000000" w:rsidR="00000000" w:rsidRPr="00000000">
        <w:rPr>
          <w:sz w:val="20"/>
          <w:szCs w:val="20"/>
          <w:highlight w:val="green"/>
          <w:rtl w:val="0"/>
        </w:rPr>
        <w:t xml:space="preserve">The green highlight is not applicable and is to be deleted, if no Valuation Cap</w:t>
      </w:r>
      <w:r w:rsidDel="00000000" w:rsidR="00000000" w:rsidRPr="00000000">
        <w:rPr>
          <w:rtl w:val="0"/>
        </w:rPr>
      </w:r>
    </w:p>
  </w:footnote>
  <w:footnote w:id="4">
    <w:p w:rsidR="00000000" w:rsidDel="00000000" w:rsidP="00000000" w:rsidRDefault="00000000" w:rsidRPr="00000000" w14:paraId="00000143">
      <w:pPr>
        <w:spacing w:after="0" w:lineRule="auto"/>
        <w:ind w:left="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NOTE TO DRAFT: This is the maximum valuation at which the SAFE will convert into equity, regardless of the valuation agreed by the Company and the subsequent equity investors. Although this Valuation Cap is not a “valuation,” investors and companies may look at this amount as an indication for either current or potential future valuation. IMPORTANT NOTE: Including a valuation cap is an optional not a mandatory term of the SAFE </w:t>
      </w:r>
      <w:r w:rsidDel="00000000" w:rsidR="00000000" w:rsidRPr="00000000">
        <w:rPr>
          <w:sz w:val="20"/>
          <w:szCs w:val="20"/>
          <w:highlight w:val="yellow"/>
          <w:rtl w:val="0"/>
        </w:rPr>
        <w:t xml:space="preserve">(although it is becoming more common)</w:t>
      </w:r>
      <w:r w:rsidDel="00000000" w:rsidR="00000000" w:rsidRPr="00000000">
        <w:rPr>
          <w:sz w:val="20"/>
          <w:szCs w:val="20"/>
          <w:rtl w:val="0"/>
        </w:rPr>
        <w:t xml:space="preserve">. The total size of the convertible financing round and the Valuation Cap are two variables that each can have a significant impact on the ownership position of the SAFE investors following the conversion of the SAFE, and the two variables together have a magnifying effect. Therefore, the founders must run through a sensitivity analysis when trying to determine how much to raise and where to set the Valuation Cap.</w:t>
      </w:r>
    </w:p>
  </w:footnote>
  <w:footnote w:id="5">
    <w:p w:rsidR="00000000" w:rsidDel="00000000" w:rsidP="00000000" w:rsidRDefault="00000000" w:rsidRPr="00000000" w14:paraId="00000144">
      <w:pPr>
        <w:spacing w:after="0" w:lineRule="auto"/>
        <w:ind w:left="0"/>
        <w:jc w:val="left"/>
        <w:rPr>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highlight w:val="green"/>
          <w:rtl w:val="0"/>
        </w:rPr>
        <w:t xml:space="preserve"> </w:t>
      </w:r>
      <w:r w:rsidDel="00000000" w:rsidR="00000000" w:rsidRPr="00000000">
        <w:rPr>
          <w:sz w:val="20"/>
          <w:szCs w:val="20"/>
          <w:highlight w:val="green"/>
          <w:rtl w:val="0"/>
        </w:rPr>
        <w:t xml:space="preserve">The green highlight is not applicable and is to be deleted, if no Valuation Cap</w:t>
      </w:r>
      <w:r w:rsidDel="00000000" w:rsidR="00000000" w:rsidRPr="00000000">
        <w:rPr>
          <w:rtl w:val="0"/>
        </w:rPr>
      </w:r>
    </w:p>
  </w:footnote>
  <w:footnote w:id="6">
    <w:p w:rsidR="00000000" w:rsidDel="00000000" w:rsidP="00000000" w:rsidRDefault="00000000" w:rsidRPr="00000000" w14:paraId="00000145">
      <w:pPr>
        <w:spacing w:after="0" w:lineRule="auto"/>
        <w:ind w:left="0"/>
        <w:jc w:val="left"/>
        <w:rPr>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highlight w:val="cyan"/>
          <w:rtl w:val="0"/>
        </w:rPr>
        <w:t xml:space="preserve"> </w:t>
      </w:r>
      <w:r w:rsidDel="00000000" w:rsidR="00000000" w:rsidRPr="00000000">
        <w:rPr>
          <w:sz w:val="20"/>
          <w:szCs w:val="20"/>
          <w:highlight w:val="cyan"/>
          <w:rtl w:val="0"/>
        </w:rPr>
        <w:t xml:space="preserve">The blue highlight is not applicable and is to be deleted, if no discount</w:t>
      </w:r>
      <w:r w:rsidDel="00000000" w:rsidR="00000000" w:rsidRPr="00000000">
        <w:rPr>
          <w:rtl w:val="0"/>
        </w:rPr>
      </w:r>
    </w:p>
  </w:footnote>
  <w:footnote w:id="2">
    <w:p w:rsidR="00000000" w:rsidDel="00000000" w:rsidP="00000000" w:rsidRDefault="00000000" w:rsidRPr="00000000" w14:paraId="00000146">
      <w:pPr>
        <w:spacing w:after="0" w:lineRule="auto"/>
        <w:ind w:left="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NOTE TO DRAFT: Under Hungarian law it is not recommended to consider the SAFE contribution at conversion as debt claim conversion, and in kind contribution, as that would strengthen the CLA nature of the SAFE, which is conversely an equity instrument and not a debt instrument. Therefore we consider the Purchase Amount as a cash advance for a cash equity contribution.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2">
    <w:pPr>
      <w:pBdr>
        <w:top w:color="000000" w:space="2" w:sz="18" w:val="single"/>
        <w:bottom w:color="000000" w:space="2" w:sz="18" w:val="single"/>
      </w:pBdr>
      <w:spacing w:after="200" w:line="276" w:lineRule="auto"/>
      <w:ind w:left="-1433.8235294117646" w:right="-1425.0000000000002" w:firstLine="713.8235294117646"/>
      <w:jc w:val="left"/>
      <w:rPr>
        <w:b w:val="1"/>
        <w:bCs w:val="1"/>
      </w:rPr>
    </w:pPr>
    <w:r w:rsidDel="00000000" w:rsidR="00000000" w:rsidRPr="00000000">
      <w:rPr>
        <w:rFonts w:ascii="Unbounded" w:cs="Unbounded" w:eastAsia="Unbounded" w:hAnsi="Unbounded"/>
        <w:sz w:val="28"/>
        <w:szCs w:val="28"/>
        <w:rtl w:val="0"/>
      </w:rPr>
      <w:t xml:space="preserve">LEGAL LIBRARY</w:t>
      <w:tab/>
      <w:tab/>
      <w:tab/>
      <w:tab/>
      <w:tab/>
      <w:tab/>
      <w:tab/>
    </w:r>
    <w:r w:rsidDel="00000000" w:rsidR="00000000" w:rsidRPr="00000000">
      <w:rPr>
        <w:rFonts w:ascii="Unbounded" w:cs="Unbounded" w:eastAsia="Unbounded" w:hAnsi="Unbounded"/>
        <w:sz w:val="28"/>
        <w:szCs w:val="28"/>
      </w:rPr>
      <w:drawing>
        <wp:inline distB="114300" distT="114300" distL="114300" distR="114300">
          <wp:extent cx="1358900" cy="276225"/>
          <wp:effectExtent b="0" l="0" r="0" t="0"/>
          <wp:docPr id="7"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358900" cy="276225"/>
                  </a:xfrm>
                  <a:prstGeom prst="rect"/>
                  <a:ln/>
                </pic:spPr>
              </pic:pic>
            </a:graphicData>
          </a:graphic>
        </wp:inline>
      </w:drawing>
    </w:r>
    <w:r w:rsidDel="00000000" w:rsidR="00000000" w:rsidRPr="00000000">
      <w:rPr>
        <w:rFonts w:ascii="Unbounded" w:cs="Unbounded" w:eastAsia="Unbounded" w:hAnsi="Unbounded"/>
        <w:sz w:val="28"/>
        <w:szCs w:val="28"/>
        <w:rtl w:val="0"/>
      </w:rPr>
      <w:t xml:space="preserve"> </w:t>
    </w:r>
    <w:r w:rsidDel="00000000" w:rsidR="00000000" w:rsidRPr="00000000">
      <w:rPr>
        <w:rFonts w:ascii="Unbounded" w:cs="Unbounded" w:eastAsia="Unbounded" w:hAnsi="Unbounded"/>
        <w:sz w:val="28"/>
        <w:szCs w:val="28"/>
      </w:rPr>
      <w:drawing>
        <wp:inline distB="114300" distT="114300" distL="114300" distR="114300">
          <wp:extent cx="666290" cy="306705"/>
          <wp:effectExtent b="0" l="0" r="0" t="0"/>
          <wp:docPr id="15" name="image1.png"/>
          <a:graphic>
            <a:graphicData uri="http://schemas.openxmlformats.org/drawingml/2006/picture">
              <pic:pic>
                <pic:nvPicPr>
                  <pic:cNvPr id="0" name="image1.png"/>
                  <pic:cNvPicPr preferRelativeResize="0"/>
                </pic:nvPicPr>
                <pic:blipFill>
                  <a:blip r:embed="rId2"/>
                  <a:srcRect b="27154" l="0" r="0" t="27672"/>
                  <a:stretch>
                    <a:fillRect/>
                  </a:stretch>
                </pic:blipFill>
                <pic:spPr>
                  <a:xfrm>
                    <a:off x="0" y="0"/>
                    <a:ext cx="666290" cy="306705"/>
                  </a:xfrm>
                  <a:prstGeom prst="rect"/>
                  <a:ln/>
                </pic:spPr>
              </pic:pic>
            </a:graphicData>
          </a:graphic>
        </wp:inline>
      </w:drawing>
    </w:r>
    <w:r w:rsidDel="00000000" w:rsidR="00000000" w:rsidRPr="00000000">
      <w:rPr>
        <w:rFonts w:ascii="Unbounded" w:cs="Unbounded" w:eastAsia="Unbounded" w:hAnsi="Unbounded"/>
        <w:sz w:val="28"/>
        <w:szCs w:val="28"/>
        <w:rtl w:val="0"/>
      </w:rPr>
      <w:tab/>
    </w: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pBdr>
        <w:top w:color="000000" w:space="2" w:sz="18" w:val="single"/>
        <w:bottom w:color="000000" w:space="2" w:sz="18" w:val="single"/>
      </w:pBdr>
      <w:spacing w:after="200" w:line="276" w:lineRule="auto"/>
      <w:ind w:left="-1433.8235294117646" w:right="-1425.0000000000002" w:firstLine="713.8235294117646"/>
      <w:jc w:val="left"/>
      <w:rPr/>
    </w:pPr>
    <w:r w:rsidDel="00000000" w:rsidR="00000000" w:rsidRPr="00000000">
      <w:rPr>
        <w:rFonts w:ascii="Unbounded" w:cs="Unbounded" w:eastAsia="Unbounded" w:hAnsi="Unbounded"/>
        <w:sz w:val="28"/>
        <w:szCs w:val="28"/>
        <w:rtl w:val="0"/>
      </w:rPr>
      <w:t xml:space="preserve">LEGAL LIBRARY</w:t>
      <w:tab/>
      <w:tab/>
      <w:tab/>
      <w:tab/>
      <w:tab/>
      <w:tab/>
      <w:tab/>
    </w:r>
    <w:r w:rsidDel="00000000" w:rsidR="00000000" w:rsidRPr="00000000">
      <w:rPr>
        <w:rFonts w:ascii="Unbounded" w:cs="Unbounded" w:eastAsia="Unbounded" w:hAnsi="Unbounded"/>
        <w:sz w:val="28"/>
        <w:szCs w:val="28"/>
      </w:rPr>
      <w:drawing>
        <wp:inline distB="114300" distT="114300" distL="114300" distR="114300">
          <wp:extent cx="1358900" cy="276225"/>
          <wp:effectExtent b="0" l="0" r="0" t="0"/>
          <wp:docPr id="4"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358900" cy="276225"/>
                  </a:xfrm>
                  <a:prstGeom prst="rect"/>
                  <a:ln/>
                </pic:spPr>
              </pic:pic>
            </a:graphicData>
          </a:graphic>
        </wp:inline>
      </w:drawing>
    </w:r>
    <w:r w:rsidDel="00000000" w:rsidR="00000000" w:rsidRPr="00000000">
      <w:rPr>
        <w:rFonts w:ascii="Unbounded" w:cs="Unbounded" w:eastAsia="Unbounded" w:hAnsi="Unbounded"/>
        <w:sz w:val="28"/>
        <w:szCs w:val="28"/>
        <w:rtl w:val="0"/>
      </w:rPr>
      <w:t xml:space="preserve"> </w:t>
    </w:r>
    <w:r w:rsidDel="00000000" w:rsidR="00000000" w:rsidRPr="00000000">
      <w:rPr>
        <w:rFonts w:ascii="Unbounded" w:cs="Unbounded" w:eastAsia="Unbounded" w:hAnsi="Unbounded"/>
        <w:sz w:val="28"/>
        <w:szCs w:val="28"/>
      </w:rPr>
      <w:drawing>
        <wp:inline distB="114300" distT="114300" distL="114300" distR="114300">
          <wp:extent cx="666290" cy="306705"/>
          <wp:effectExtent b="0" l="0" r="0" t="0"/>
          <wp:docPr id="6" name="image1.png"/>
          <a:graphic>
            <a:graphicData uri="http://schemas.openxmlformats.org/drawingml/2006/picture">
              <pic:pic>
                <pic:nvPicPr>
                  <pic:cNvPr id="0" name="image1.png"/>
                  <pic:cNvPicPr preferRelativeResize="0"/>
                </pic:nvPicPr>
                <pic:blipFill>
                  <a:blip r:embed="rId2"/>
                  <a:srcRect b="27154" l="0" r="0" t="27672"/>
                  <a:stretch>
                    <a:fillRect/>
                  </a:stretch>
                </pic:blipFill>
                <pic:spPr>
                  <a:xfrm>
                    <a:off x="0" y="0"/>
                    <a:ext cx="666290" cy="306705"/>
                  </a:xfrm>
                  <a:prstGeom prst="rect"/>
                  <a:ln/>
                </pic:spPr>
              </pic:pic>
            </a:graphicData>
          </a:graphic>
        </wp:inline>
      </w:drawing>
    </w:r>
    <w:r w:rsidDel="00000000" w:rsidR="00000000" w:rsidRPr="00000000">
      <w:rPr>
        <w:rFonts w:ascii="Unbounded" w:cs="Unbounded" w:eastAsia="Unbounded" w:hAnsi="Unbounded"/>
        <w:sz w:val="28"/>
        <w:szCs w:val="28"/>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352" w:hanging="360"/>
      </w:pPr>
      <w:rPr/>
    </w:lvl>
    <w:lvl w:ilvl="1">
      <w:start w:val="1"/>
      <w:numFmt w:val="lowerLetter"/>
      <w:lvlText w:val="%2."/>
      <w:lvlJc w:val="left"/>
      <w:pPr>
        <w:ind w:left="1072" w:hanging="360"/>
      </w:pPr>
      <w:rPr/>
    </w:lvl>
    <w:lvl w:ilvl="2">
      <w:start w:val="1"/>
      <w:numFmt w:val="lowerRoman"/>
      <w:lvlText w:val="%3."/>
      <w:lvlJc w:val="right"/>
      <w:pPr>
        <w:ind w:left="1792" w:hanging="180"/>
      </w:pPr>
      <w:rPr/>
    </w:lvl>
    <w:lvl w:ilvl="3">
      <w:start w:val="1"/>
      <w:numFmt w:val="decimal"/>
      <w:lvlText w:val="%4."/>
      <w:lvlJc w:val="left"/>
      <w:pPr>
        <w:ind w:left="2512" w:hanging="360"/>
      </w:pPr>
      <w:rPr/>
    </w:lvl>
    <w:lvl w:ilvl="4">
      <w:start w:val="1"/>
      <w:numFmt w:val="lowerLetter"/>
      <w:lvlText w:val="%5."/>
      <w:lvlJc w:val="left"/>
      <w:pPr>
        <w:ind w:left="3232" w:hanging="360"/>
      </w:pPr>
      <w:rPr/>
    </w:lvl>
    <w:lvl w:ilvl="5">
      <w:start w:val="1"/>
      <w:numFmt w:val="lowerRoman"/>
      <w:lvlText w:val="%6."/>
      <w:lvlJc w:val="right"/>
      <w:pPr>
        <w:ind w:left="3952" w:hanging="180"/>
      </w:pPr>
      <w:rPr/>
    </w:lvl>
    <w:lvl w:ilvl="6">
      <w:start w:val="1"/>
      <w:numFmt w:val="decimal"/>
      <w:lvlText w:val="%7."/>
      <w:lvlJc w:val="left"/>
      <w:pPr>
        <w:ind w:left="4672" w:hanging="360"/>
      </w:pPr>
      <w:rPr/>
    </w:lvl>
    <w:lvl w:ilvl="7">
      <w:start w:val="1"/>
      <w:numFmt w:val="lowerLetter"/>
      <w:lvlText w:val="%8."/>
      <w:lvlJc w:val="left"/>
      <w:pPr>
        <w:ind w:left="5392" w:hanging="360"/>
      </w:pPr>
      <w:rPr/>
    </w:lvl>
    <w:lvl w:ilvl="8">
      <w:start w:val="1"/>
      <w:numFmt w:val="lowerRoman"/>
      <w:lvlText w:val="%9."/>
      <w:lvlJc w:val="right"/>
      <w:pPr>
        <w:ind w:left="6112"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spacing w:after="160" w:lineRule="auto"/>
        <w:ind w:left="72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40" w:before="80" w:lineRule="auto"/>
    </w:pPr>
    <w:rPr>
      <w:rFonts w:ascii="Calibri" w:cs="Calibri" w:eastAsia="Calibri" w:hAnsi="Calibri"/>
      <w:i w:val="1"/>
      <w:iCs w:val="1"/>
      <w:color w:val="2f5496"/>
    </w:rPr>
  </w:style>
  <w:style w:type="paragraph" w:styleId="Heading5">
    <w:name w:val="heading 5"/>
    <w:basedOn w:val="Normal"/>
    <w:next w:val="Normal"/>
    <w:pPr>
      <w:keepNext w:val="1"/>
      <w:keepLines w:val="1"/>
      <w:spacing w:after="40" w:before="80" w:lineRule="auto"/>
    </w:pPr>
    <w:rPr>
      <w:rFonts w:ascii="Calibri" w:cs="Calibri" w:eastAsia="Calibri" w:hAnsi="Calibri"/>
      <w:color w:val="2f5496"/>
    </w:rPr>
  </w:style>
  <w:style w:type="paragraph" w:styleId="Heading6">
    <w:name w:val="heading 6"/>
    <w:basedOn w:val="Normal"/>
    <w:next w:val="Normal"/>
    <w:pPr>
      <w:keepNext w:val="1"/>
      <w:keepLines w:val="1"/>
      <w:spacing w:before="40" w:lineRule="auto"/>
    </w:pPr>
    <w:rPr>
      <w:rFonts w:ascii="Calibri" w:cs="Calibri" w:eastAsia="Calibri" w:hAnsi="Calibri"/>
      <w:i w:val="1"/>
      <w:iCs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Heading7">
    <w:name w:val="heading 7"/>
    <w:basedOn w:val="Normal"/>
    <w:next w:val="Normal"/>
    <w:link w:val="Heading7Char"/>
    <w:uiPriority w:val="9"/>
    <w:semiHidden w:val="1"/>
    <w:unhideWhenUsed w:val="1"/>
    <w:qFormat w:val="1"/>
    <w:rsid w:val="008E7834"/>
    <w:pPr>
      <w:keepNext w:val="1"/>
      <w:keepLines w:val="1"/>
      <w:spacing w:before="40"/>
      <w:outlineLvl w:val="6"/>
    </w:pPr>
    <w:rPr>
      <w:rFonts w:asciiTheme="minorHAnsi" w:cstheme="majorBidi" w:eastAsiaTheme="majorEastAsia" w:hAnsiTheme="minorHAnsi"/>
      <w:color w:val="595959" w:themeColor="text1" w:themeTint="0000A6"/>
    </w:rPr>
  </w:style>
  <w:style w:type="paragraph" w:styleId="Heading8">
    <w:name w:val="heading 8"/>
    <w:basedOn w:val="Normal"/>
    <w:next w:val="Normal"/>
    <w:link w:val="Heading8Char"/>
    <w:uiPriority w:val="9"/>
    <w:semiHidden w:val="1"/>
    <w:unhideWhenUsed w:val="1"/>
    <w:qFormat w:val="1"/>
    <w:rsid w:val="008E7834"/>
    <w:pPr>
      <w:keepNext w:val="1"/>
      <w:keepLines w:val="1"/>
      <w:outlineLvl w:val="7"/>
    </w:pPr>
    <w:rPr>
      <w:rFonts w:asciiTheme="minorHAnsi" w:cstheme="majorBidi" w:eastAsiaTheme="majorEastAsia" w:hAnsiTheme="minorHAnsi"/>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8E7834"/>
    <w:pPr>
      <w:keepNext w:val="1"/>
      <w:keepLines w:val="1"/>
      <w:outlineLvl w:val="8"/>
    </w:pPr>
    <w:rPr>
      <w:rFonts w:asciiTheme="minorHAnsi" w:cstheme="majorBidi" w:eastAsiaTheme="majorEastAsia" w:hAnsiTheme="minorHAnsi"/>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E7834"/>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rsid w:val="008E7834"/>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8E7834"/>
    <w:rPr>
      <w:rFonts w:asciiTheme="minorHAnsi" w:cstheme="majorBidi" w:eastAsiaTheme="majorEastAsia" w:hAnsiTheme="minorHAnsi"/>
      <w:color w:val="2f5496" w:themeColor="accent1" w:themeShade="0000BF"/>
      <w:sz w:val="28"/>
      <w:szCs w:val="28"/>
    </w:rPr>
  </w:style>
  <w:style w:type="character" w:styleId="Heading4Char" w:customStyle="1">
    <w:name w:val="Heading 4 Char"/>
    <w:basedOn w:val="DefaultParagraphFont"/>
    <w:link w:val="Heading4"/>
    <w:uiPriority w:val="9"/>
    <w:semiHidden w:val="1"/>
    <w:rsid w:val="008E7834"/>
    <w:rPr>
      <w:rFonts w:asciiTheme="minorHAnsi" w:cstheme="majorBidi" w:eastAsiaTheme="majorEastAsia" w:hAnsiTheme="minorHAnsi"/>
      <w:i w:val="1"/>
      <w:iCs w:val="1"/>
      <w:color w:val="2f5496" w:themeColor="accent1" w:themeShade="0000BF"/>
    </w:rPr>
  </w:style>
  <w:style w:type="character" w:styleId="Heading5Char" w:customStyle="1">
    <w:name w:val="Heading 5 Char"/>
    <w:basedOn w:val="DefaultParagraphFont"/>
    <w:link w:val="Heading5"/>
    <w:uiPriority w:val="9"/>
    <w:semiHidden w:val="1"/>
    <w:rsid w:val="008E7834"/>
    <w:rPr>
      <w:rFonts w:asciiTheme="minorHAnsi" w:cstheme="majorBidi" w:eastAsiaTheme="majorEastAsia" w:hAnsiTheme="minorHAnsi"/>
      <w:color w:val="2f5496" w:themeColor="accent1" w:themeShade="0000BF"/>
    </w:rPr>
  </w:style>
  <w:style w:type="character" w:styleId="Heading6Char" w:customStyle="1">
    <w:name w:val="Heading 6 Char"/>
    <w:basedOn w:val="DefaultParagraphFont"/>
    <w:link w:val="Heading6"/>
    <w:uiPriority w:val="9"/>
    <w:semiHidden w:val="1"/>
    <w:rsid w:val="008E7834"/>
    <w:rPr>
      <w:rFonts w:asciiTheme="minorHAnsi" w:cstheme="majorBidi" w:eastAsiaTheme="majorEastAsia" w:hAnsiTheme="minorHAnsi"/>
      <w:i w:val="1"/>
      <w:iCs w:val="1"/>
      <w:color w:val="595959" w:themeColor="text1" w:themeTint="0000A6"/>
    </w:rPr>
  </w:style>
  <w:style w:type="character" w:styleId="Heading7Char" w:customStyle="1">
    <w:name w:val="Heading 7 Char"/>
    <w:basedOn w:val="DefaultParagraphFont"/>
    <w:link w:val="Heading7"/>
    <w:uiPriority w:val="9"/>
    <w:semiHidden w:val="1"/>
    <w:rsid w:val="008E7834"/>
    <w:rPr>
      <w:rFonts w:asciiTheme="minorHAnsi" w:cstheme="majorBidi" w:eastAsiaTheme="majorEastAsia" w:hAnsiTheme="minorHAnsi"/>
      <w:color w:val="595959" w:themeColor="text1" w:themeTint="0000A6"/>
    </w:rPr>
  </w:style>
  <w:style w:type="character" w:styleId="Heading8Char" w:customStyle="1">
    <w:name w:val="Heading 8 Char"/>
    <w:basedOn w:val="DefaultParagraphFont"/>
    <w:link w:val="Heading8"/>
    <w:uiPriority w:val="9"/>
    <w:semiHidden w:val="1"/>
    <w:rsid w:val="008E7834"/>
    <w:rPr>
      <w:rFonts w:asciiTheme="minorHAnsi" w:cstheme="majorBidi" w:eastAsiaTheme="majorEastAsia" w:hAnsiTheme="minorHAnsi"/>
      <w:i w:val="1"/>
      <w:iCs w:val="1"/>
      <w:color w:val="272727" w:themeColor="text1" w:themeTint="0000D8"/>
    </w:rPr>
  </w:style>
  <w:style w:type="character" w:styleId="Heading9Char" w:customStyle="1">
    <w:name w:val="Heading 9 Char"/>
    <w:basedOn w:val="DefaultParagraphFont"/>
    <w:link w:val="Heading9"/>
    <w:uiPriority w:val="9"/>
    <w:semiHidden w:val="1"/>
    <w:rsid w:val="008E7834"/>
    <w:rPr>
      <w:rFonts w:asciiTheme="minorHAnsi" w:cstheme="majorBidi" w:eastAsiaTheme="majorEastAsia" w:hAnsiTheme="minorHAnsi"/>
      <w:color w:val="272727" w:themeColor="text1" w:themeTint="0000D8"/>
    </w:rPr>
  </w:style>
  <w:style w:type="character" w:styleId="TitleChar" w:customStyle="1">
    <w:name w:val="Title Char"/>
    <w:basedOn w:val="DefaultParagraphFont"/>
    <w:link w:val="Title"/>
    <w:uiPriority w:val="10"/>
    <w:rsid w:val="008E7834"/>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8E7834"/>
    <w:rPr>
      <w:rFonts w:asciiTheme="minorHAnsi" w:cstheme="majorBidi" w:eastAsiaTheme="majorEastAsia" w:hAnsiTheme="minorHAnsi"/>
      <w:color w:val="595959" w:themeColor="text1" w:themeTint="0000A6"/>
      <w:spacing w:val="15"/>
      <w:sz w:val="28"/>
      <w:szCs w:val="28"/>
    </w:rPr>
  </w:style>
  <w:style w:type="paragraph" w:styleId="Quote">
    <w:name w:val="Quote"/>
    <w:basedOn w:val="Normal"/>
    <w:next w:val="Normal"/>
    <w:link w:val="QuoteChar"/>
    <w:uiPriority w:val="29"/>
    <w:qFormat w:val="1"/>
    <w:rsid w:val="008E7834"/>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8E7834"/>
    <w:rPr>
      <w:i w:val="1"/>
      <w:iCs w:val="1"/>
      <w:color w:val="404040" w:themeColor="text1" w:themeTint="0000BF"/>
    </w:rPr>
  </w:style>
  <w:style w:type="paragraph" w:styleId="ListParagraph">
    <w:name w:val="List Paragraph"/>
    <w:basedOn w:val="Normal"/>
    <w:uiPriority w:val="34"/>
    <w:qFormat w:val="1"/>
    <w:rsid w:val="008E7834"/>
    <w:pPr>
      <w:contextualSpacing w:val="1"/>
    </w:pPr>
  </w:style>
  <w:style w:type="character" w:styleId="IntenseEmphasis">
    <w:name w:val="Intense Emphasis"/>
    <w:basedOn w:val="DefaultParagraphFont"/>
    <w:uiPriority w:val="21"/>
    <w:qFormat w:val="1"/>
    <w:rsid w:val="008E7834"/>
    <w:rPr>
      <w:i w:val="1"/>
      <w:iCs w:val="1"/>
      <w:color w:val="2f5496" w:themeColor="accent1" w:themeShade="0000BF"/>
    </w:rPr>
  </w:style>
  <w:style w:type="paragraph" w:styleId="IntenseQuote">
    <w:name w:val="Intense Quote"/>
    <w:basedOn w:val="Normal"/>
    <w:next w:val="Normal"/>
    <w:link w:val="IntenseQuoteChar"/>
    <w:uiPriority w:val="30"/>
    <w:qFormat w:val="1"/>
    <w:rsid w:val="008E7834"/>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8E7834"/>
    <w:rPr>
      <w:i w:val="1"/>
      <w:iCs w:val="1"/>
      <w:color w:val="2f5496" w:themeColor="accent1" w:themeShade="0000BF"/>
    </w:rPr>
  </w:style>
  <w:style w:type="character" w:styleId="IntenseReference">
    <w:name w:val="Intense Reference"/>
    <w:basedOn w:val="DefaultParagraphFont"/>
    <w:uiPriority w:val="32"/>
    <w:qFormat w:val="1"/>
    <w:rsid w:val="008E7834"/>
    <w:rPr>
      <w:b w:val="1"/>
      <w:bCs w:val="1"/>
      <w:smallCaps w:val="1"/>
      <w:color w:val="2f5496" w:themeColor="accent1" w:themeShade="0000BF"/>
      <w:spacing w:val="5"/>
    </w:rPr>
  </w:style>
  <w:style w:type="table" w:styleId="TableGrid">
    <w:name w:val="Table Grid"/>
    <w:basedOn w:val="TableNormal"/>
    <w:uiPriority w:val="39"/>
    <w:rsid w:val="008E7834"/>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otnoteReference">
    <w:name w:val="footnote reference"/>
    <w:basedOn w:val="DefaultParagraphFont"/>
    <w:uiPriority w:val="99"/>
    <w:semiHidden w:val="1"/>
    <w:unhideWhenUsed w:val="1"/>
    <w:rsid w:val="009730A2"/>
    <w:rPr>
      <w:vertAlign w:val="superscript"/>
    </w:rPr>
  </w:style>
  <w:style w:type="paragraph" w:styleId="FootnoteText">
    <w:name w:val="footnote text"/>
    <w:basedOn w:val="Normal"/>
    <w:link w:val="FootnoteTextChar"/>
    <w:uiPriority w:val="99"/>
    <w:semiHidden w:val="1"/>
    <w:unhideWhenUsed w:val="1"/>
    <w:rsid w:val="009730A2"/>
    <w:pPr>
      <w:spacing w:after="0"/>
    </w:pPr>
    <w:rPr>
      <w:sz w:val="20"/>
      <w:szCs w:val="20"/>
    </w:rPr>
  </w:style>
  <w:style w:type="character" w:styleId="FootnoteTextChar" w:customStyle="1">
    <w:name w:val="Footnote Text Char"/>
    <w:basedOn w:val="DefaultParagraphFont"/>
    <w:link w:val="FootnoteText"/>
    <w:uiPriority w:val="99"/>
    <w:semiHidden w:val="1"/>
    <w:rsid w:val="009730A2"/>
    <w:rPr>
      <w:rFonts w:cs="Calibri" w:eastAsia="Calibri"/>
      <w:kern w:val="0"/>
      <w:sz w:val="20"/>
      <w:szCs w:val="20"/>
      <w:lang w:eastAsia="hu-HU"/>
    </w:rPr>
  </w:style>
  <w:style w:type="character" w:styleId="Hyperlink">
    <w:name w:val="Hyperlink"/>
    <w:basedOn w:val="DefaultParagraphFont"/>
    <w:uiPriority w:val="99"/>
    <w:unhideWhenUsed w:val="1"/>
    <w:rsid w:val="009730A2"/>
    <w:rPr>
      <w:color w:val="0563c1" w:themeColor="hyperlink"/>
      <w:u w:val="single"/>
    </w:rPr>
  </w:style>
  <w:style w:type="character" w:styleId="Strong">
    <w:name w:val="Strong"/>
    <w:basedOn w:val="DefaultParagraphFont"/>
    <w:uiPriority w:val="22"/>
    <w:qFormat w:val="1"/>
    <w:rsid w:val="009730A2"/>
    <w:rPr>
      <w:b w:val="1"/>
      <w:bCs w:val="1"/>
    </w:rPr>
  </w:style>
  <w:style w:type="paragraph" w:styleId="NormalWeb">
    <w:name w:val="Normal (Web)"/>
    <w:basedOn w:val="Normal"/>
    <w:uiPriority w:val="99"/>
    <w:unhideWhenUsed w:val="1"/>
    <w:rsid w:val="009730A2"/>
    <w:rPr>
      <w:rFonts w:cs="Times New Roman"/>
      <w:sz w:val="24"/>
      <w:szCs w:val="24"/>
    </w:rPr>
  </w:style>
  <w:style w:type="character" w:styleId="UnresolvedMention">
    <w:name w:val="Unresolved Mention"/>
    <w:basedOn w:val="DefaultParagraphFont"/>
    <w:uiPriority w:val="99"/>
    <w:semiHidden w:val="1"/>
    <w:unhideWhenUsed w:val="1"/>
    <w:rsid w:val="001445A1"/>
    <w:rPr>
      <w:color w:val="605e5c"/>
      <w:shd w:color="auto" w:fill="e1dfdd" w:val="clear"/>
    </w:rPr>
  </w:style>
  <w:style w:type="character" w:styleId="CommentReference">
    <w:name w:val="annotation reference"/>
    <w:basedOn w:val="DefaultParagraphFont"/>
    <w:uiPriority w:val="99"/>
    <w:semiHidden w:val="1"/>
    <w:unhideWhenUsed w:val="1"/>
    <w:rsid w:val="00027F32"/>
    <w:rPr>
      <w:sz w:val="16"/>
      <w:szCs w:val="16"/>
    </w:rPr>
  </w:style>
  <w:style w:type="paragraph" w:styleId="CommentText">
    <w:name w:val="annotation text"/>
    <w:basedOn w:val="Normal"/>
    <w:link w:val="CommentTextChar"/>
    <w:uiPriority w:val="99"/>
    <w:unhideWhenUsed w:val="1"/>
    <w:rsid w:val="00027F32"/>
    <w:rPr>
      <w:sz w:val="20"/>
      <w:szCs w:val="20"/>
    </w:rPr>
  </w:style>
  <w:style w:type="character" w:styleId="CommentTextChar" w:customStyle="1">
    <w:name w:val="Comment Text Char"/>
    <w:basedOn w:val="DefaultParagraphFont"/>
    <w:link w:val="CommentText"/>
    <w:uiPriority w:val="99"/>
    <w:rsid w:val="00027F32"/>
    <w:rPr>
      <w:rFonts w:cs="Calibri" w:eastAsia="Calibri"/>
      <w:kern w:val="0"/>
      <w:sz w:val="20"/>
      <w:szCs w:val="20"/>
      <w:lang w:eastAsia="hu-HU"/>
    </w:rPr>
  </w:style>
  <w:style w:type="paragraph" w:styleId="CommentSubject">
    <w:name w:val="annotation subject"/>
    <w:basedOn w:val="CommentText"/>
    <w:next w:val="CommentText"/>
    <w:link w:val="CommentSubjectChar"/>
    <w:uiPriority w:val="99"/>
    <w:semiHidden w:val="1"/>
    <w:unhideWhenUsed w:val="1"/>
    <w:rsid w:val="00027F32"/>
    <w:rPr>
      <w:b w:val="1"/>
      <w:bCs w:val="1"/>
    </w:rPr>
  </w:style>
  <w:style w:type="character" w:styleId="CommentSubjectChar" w:customStyle="1">
    <w:name w:val="Comment Subject Char"/>
    <w:basedOn w:val="CommentTextChar"/>
    <w:link w:val="CommentSubject"/>
    <w:uiPriority w:val="99"/>
    <w:semiHidden w:val="1"/>
    <w:rsid w:val="00027F32"/>
    <w:rPr>
      <w:rFonts w:cs="Calibri" w:eastAsia="Calibri"/>
      <w:b w:val="1"/>
      <w:bCs w:val="1"/>
      <w:kern w:val="0"/>
      <w:sz w:val="20"/>
      <w:szCs w:val="20"/>
      <w:lang w:eastAsia="hu-HU"/>
    </w:rPr>
  </w:style>
  <w:style w:type="paragraph" w:styleId="Subtitle">
    <w:name w:val="Subtitle"/>
    <w:basedOn w:val="Normal"/>
    <w:next w:val="Normal"/>
    <w:pPr>
      <w:ind w:left="720"/>
    </w:pPr>
    <w:rPr>
      <w:rFonts w:ascii="Calibri" w:cs="Calibri" w:eastAsia="Calibri" w:hAnsi="Calibri"/>
      <w:color w:val="595959"/>
      <w:sz w:val="28"/>
      <w:szCs w:val="2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yperlink" Target="http://ycombinator.com/documents"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ycombinator.com/docume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nbounded-regular.ttf"/><Relationship Id="rId2" Type="http://schemas.openxmlformats.org/officeDocument/2006/relationships/font" Target="fonts/Unbounded-bol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2.png"/><Relationship Id="rId3" Type="http://schemas.openxmlformats.org/officeDocument/2006/relationships/image" Target="media/image8.png"/><Relationship Id="rId4" Type="http://schemas.openxmlformats.org/officeDocument/2006/relationships/image" Target="media/image6.png"/><Relationship Id="rId11" Type="http://schemas.openxmlformats.org/officeDocument/2006/relationships/image" Target="media/image7.png"/><Relationship Id="rId10" Type="http://schemas.openxmlformats.org/officeDocument/2006/relationships/image" Target="media/image10.png"/><Relationship Id="rId9" Type="http://schemas.openxmlformats.org/officeDocument/2006/relationships/image" Target="media/image9.png"/><Relationship Id="rId5" Type="http://schemas.openxmlformats.org/officeDocument/2006/relationships/image" Target="media/image5.png"/><Relationship Id="rId6" Type="http://schemas.openxmlformats.org/officeDocument/2006/relationships/image" Target="media/image12.png"/><Relationship Id="rId7" Type="http://schemas.openxmlformats.org/officeDocument/2006/relationships/image" Target="media/image4.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OLP11AO9nfKAYh1cE+n8UUm3AQ==">CgMxLjAyDmguc3Q4cHRxcHp2ZHUxOAByITFrZ3VsNzUxU292UEdOSnFwMjlUZWIzN29iNkU5VTNYMw==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2025-08-22T13:15:00Z</dcterms:created>
  <dc:creator>Beatrix Szabo</dc:creator>
</cp:coreProperties>
</file>